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FE50A" w14:textId="743F21E8" w:rsidR="00FF4E76" w:rsidRDefault="00B820EA" w:rsidP="00FF4E76">
      <w:pPr>
        <w:tabs>
          <w:tab w:val="left" w:pos="765"/>
        </w:tabs>
        <w:spacing w:line="240" w:lineRule="auto"/>
        <w:rPr>
          <w:rFonts w:ascii="Times New Roman" w:eastAsia="Times New Roman" w:hAnsi="Times New Roman" w:cs="Times New Roman"/>
          <w:b/>
          <w:sz w:val="24"/>
          <w:szCs w:val="24"/>
        </w:rPr>
      </w:pPr>
      <w:bookmarkStart w:id="0" w:name="_Hlk211601644"/>
      <w:r w:rsidRPr="00B820EA">
        <w:rPr>
          <w:rFonts w:ascii="Times New Roman" w:eastAsia="Times New Roman" w:hAnsi="Times New Roman" w:cs="Times New Roman"/>
          <w:b/>
          <w:sz w:val="24"/>
          <w:szCs w:val="24"/>
        </w:rPr>
        <w:t xml:space="preserve">From Centralized Exchanges to Decentralized Exchanges: Limitations of Regulation of </w:t>
      </w:r>
    </w:p>
    <w:p w14:paraId="5C8F7F54" w14:textId="77777777" w:rsidR="00FF4E76" w:rsidRDefault="00B820EA" w:rsidP="00FF4E76">
      <w:pPr>
        <w:spacing w:line="240" w:lineRule="auto"/>
        <w:jc w:val="center"/>
        <w:rPr>
          <w:rFonts w:ascii="Times New Roman" w:eastAsia="Times New Roman" w:hAnsi="Times New Roman" w:cs="Times New Roman"/>
          <w:b/>
          <w:sz w:val="24"/>
          <w:szCs w:val="24"/>
        </w:rPr>
      </w:pPr>
      <w:r w:rsidRPr="00B820EA">
        <w:rPr>
          <w:rFonts w:ascii="Times New Roman" w:eastAsia="Times New Roman" w:hAnsi="Times New Roman" w:cs="Times New Roman"/>
          <w:b/>
          <w:sz w:val="24"/>
          <w:szCs w:val="24"/>
        </w:rPr>
        <w:t xml:space="preserve">the Minister of Finance Number 50 of 2025 and the Redesign of </w:t>
      </w:r>
    </w:p>
    <w:p w14:paraId="0C40F718" w14:textId="166284DB" w:rsidR="00BB17A0" w:rsidRPr="00B418C6" w:rsidRDefault="00B820EA" w:rsidP="00FF4E76">
      <w:pPr>
        <w:spacing w:line="240" w:lineRule="auto"/>
        <w:jc w:val="center"/>
        <w:rPr>
          <w:rFonts w:ascii="Times New Roman" w:eastAsia="Times New Roman" w:hAnsi="Times New Roman" w:cs="Times New Roman"/>
          <w:b/>
          <w:sz w:val="24"/>
          <w:szCs w:val="24"/>
        </w:rPr>
      </w:pPr>
      <w:r w:rsidRPr="00B820EA">
        <w:rPr>
          <w:rFonts w:ascii="Times New Roman" w:eastAsia="Times New Roman" w:hAnsi="Times New Roman" w:cs="Times New Roman"/>
          <w:b/>
          <w:sz w:val="24"/>
          <w:szCs w:val="24"/>
        </w:rPr>
        <w:t>Protocol-Based Crypto Asset Taxation</w:t>
      </w:r>
    </w:p>
    <w:bookmarkEnd w:id="0"/>
    <w:p w14:paraId="426BEBCC" w14:textId="77777777" w:rsidR="00FF4E76" w:rsidRDefault="00FF4E76" w:rsidP="005338EB">
      <w:pPr>
        <w:spacing w:after="120"/>
        <w:jc w:val="center"/>
        <w:rPr>
          <w:rFonts w:ascii="Times New Roman" w:eastAsia="Times New Roman" w:hAnsi="Times New Roman" w:cs="Times New Roman"/>
          <w:b/>
          <w:bCs/>
          <w:sz w:val="20"/>
          <w:szCs w:val="20"/>
        </w:rPr>
      </w:pPr>
    </w:p>
    <w:p w14:paraId="1C9C7272" w14:textId="40ACDB75" w:rsidR="005338EB" w:rsidRDefault="005338EB" w:rsidP="005338EB">
      <w:pPr>
        <w:spacing w:after="120"/>
        <w:jc w:val="center"/>
        <w:rPr>
          <w:rFonts w:ascii="Times New Roman" w:eastAsia="Times New Roman" w:hAnsi="Times New Roman" w:cs="Times New Roman"/>
          <w:b/>
          <w:bCs/>
          <w:sz w:val="20"/>
          <w:szCs w:val="20"/>
          <w:vertAlign w:val="superscript"/>
        </w:rPr>
      </w:pPr>
      <w:proofErr w:type="spellStart"/>
      <w:r w:rsidRPr="005338EB">
        <w:rPr>
          <w:rFonts w:ascii="Times New Roman" w:eastAsia="Times New Roman" w:hAnsi="Times New Roman" w:cs="Times New Roman"/>
          <w:b/>
          <w:bCs/>
          <w:sz w:val="20"/>
          <w:szCs w:val="20"/>
        </w:rPr>
        <w:t>Muchamad</w:t>
      </w:r>
      <w:proofErr w:type="spellEnd"/>
      <w:r w:rsidRPr="005338EB">
        <w:rPr>
          <w:rFonts w:ascii="Times New Roman" w:eastAsia="Times New Roman" w:hAnsi="Times New Roman" w:cs="Times New Roman"/>
          <w:b/>
          <w:bCs/>
          <w:sz w:val="20"/>
          <w:szCs w:val="20"/>
        </w:rPr>
        <w:t xml:space="preserve"> Irham Fathoni </w:t>
      </w:r>
      <w:r w:rsidRPr="005338EB">
        <w:rPr>
          <w:rFonts w:ascii="Times New Roman" w:eastAsia="Times New Roman" w:hAnsi="Times New Roman" w:cs="Times New Roman"/>
          <w:b/>
          <w:bCs/>
          <w:sz w:val="20"/>
          <w:szCs w:val="20"/>
          <w:vertAlign w:val="superscript"/>
        </w:rPr>
        <w:t>1)</w:t>
      </w:r>
      <w:r>
        <w:rPr>
          <w:rFonts w:ascii="Times New Roman" w:eastAsia="Times New Roman" w:hAnsi="Times New Roman" w:cs="Times New Roman"/>
          <w:b/>
          <w:bCs/>
          <w:sz w:val="20"/>
          <w:szCs w:val="20"/>
        </w:rPr>
        <w:t>;</w:t>
      </w:r>
      <w:r w:rsidRPr="005338EB">
        <w:rPr>
          <w:rFonts w:ascii="Times New Roman" w:eastAsia="Times New Roman" w:hAnsi="Times New Roman" w:cs="Times New Roman"/>
          <w:b/>
          <w:bCs/>
          <w:sz w:val="20"/>
          <w:szCs w:val="20"/>
        </w:rPr>
        <w:t xml:space="preserve"> Akbar Saputra </w:t>
      </w:r>
      <w:r w:rsidRPr="005338EB">
        <w:rPr>
          <w:rFonts w:ascii="Times New Roman" w:eastAsia="Times New Roman" w:hAnsi="Times New Roman" w:cs="Times New Roman"/>
          <w:b/>
          <w:bCs/>
          <w:sz w:val="20"/>
          <w:szCs w:val="20"/>
          <w:vertAlign w:val="superscript"/>
        </w:rPr>
        <w:t>2)</w:t>
      </w:r>
    </w:p>
    <w:p w14:paraId="16106710" w14:textId="2C08CA4F" w:rsidR="00FF4E76" w:rsidRPr="005338EB" w:rsidRDefault="00FF4E76" w:rsidP="00FF4E76">
      <w:pPr>
        <w:tabs>
          <w:tab w:val="left" w:pos="3795"/>
        </w:tabs>
        <w:spacing w:after="120"/>
        <w:rPr>
          <w:rFonts w:ascii="Times New Roman" w:eastAsia="Times New Roman" w:hAnsi="Times New Roman" w:cs="Times New Roman"/>
          <w:b/>
          <w:bCs/>
          <w:sz w:val="20"/>
          <w:szCs w:val="20"/>
          <w:vertAlign w:val="superscript"/>
        </w:rPr>
      </w:pPr>
      <w:r>
        <w:rPr>
          <w:rFonts w:ascii="Times New Roman" w:eastAsia="Times New Roman" w:hAnsi="Times New Roman" w:cs="Times New Roman"/>
          <w:b/>
          <w:bCs/>
          <w:sz w:val="20"/>
          <w:szCs w:val="20"/>
          <w:vertAlign w:val="superscript"/>
        </w:rPr>
        <w:tab/>
      </w:r>
    </w:p>
    <w:p w14:paraId="38DF48C5" w14:textId="508E4127" w:rsidR="005338EB" w:rsidRPr="00FF4E76" w:rsidRDefault="00FF4E76" w:rsidP="00FF4E76">
      <w:pPr>
        <w:pStyle w:val="ListParagraph"/>
        <w:spacing w:line="240" w:lineRule="auto"/>
        <w:ind w:left="0"/>
        <w:jc w:val="center"/>
        <w:rPr>
          <w:rFonts w:ascii="Times New Roman" w:eastAsia="Times New Roman" w:hAnsi="Times New Roman" w:cs="Times New Roman"/>
          <w:i/>
          <w:iCs/>
          <w:sz w:val="20"/>
          <w:szCs w:val="20"/>
        </w:rPr>
      </w:pPr>
      <w:r w:rsidRPr="00FF4E76">
        <w:rPr>
          <w:rFonts w:ascii="Times New Roman" w:eastAsia="Times New Roman" w:hAnsi="Times New Roman" w:cs="Times New Roman"/>
          <w:i/>
          <w:iCs/>
          <w:sz w:val="20"/>
          <w:szCs w:val="20"/>
          <w:vertAlign w:val="superscript"/>
        </w:rPr>
        <w:t>1)</w:t>
      </w:r>
      <w:hyperlink r:id="rId7" w:history="1">
        <w:r w:rsidRPr="00FF4E76">
          <w:rPr>
            <w:rStyle w:val="Hyperlink"/>
            <w:rFonts w:ascii="Times New Roman" w:eastAsia="Times New Roman" w:hAnsi="Times New Roman" w:cs="Times New Roman"/>
            <w:i/>
            <w:iCs/>
            <w:color w:val="auto"/>
            <w:sz w:val="20"/>
            <w:szCs w:val="20"/>
            <w:u w:val="none"/>
          </w:rPr>
          <w:t>irham.fathoni@kemenkeu.go.id</w:t>
        </w:r>
      </w:hyperlink>
      <w:r w:rsidR="005338EB" w:rsidRPr="00FF4E76">
        <w:rPr>
          <w:rFonts w:ascii="Times New Roman" w:eastAsia="Times New Roman" w:hAnsi="Times New Roman" w:cs="Times New Roman"/>
          <w:i/>
          <w:iCs/>
          <w:sz w:val="20"/>
          <w:szCs w:val="20"/>
        </w:rPr>
        <w:t xml:space="preserve">, </w:t>
      </w:r>
      <w:proofErr w:type="spellStart"/>
      <w:r w:rsidR="005338EB" w:rsidRPr="00FF4E76">
        <w:rPr>
          <w:rFonts w:ascii="Times New Roman" w:eastAsia="Times New Roman" w:hAnsi="Times New Roman" w:cs="Times New Roman"/>
          <w:i/>
          <w:iCs/>
          <w:sz w:val="20"/>
          <w:szCs w:val="20"/>
        </w:rPr>
        <w:t>Direktorat</w:t>
      </w:r>
      <w:proofErr w:type="spellEnd"/>
      <w:r w:rsidR="005338EB" w:rsidRPr="00FF4E76">
        <w:rPr>
          <w:rFonts w:ascii="Times New Roman" w:eastAsia="Times New Roman" w:hAnsi="Times New Roman" w:cs="Times New Roman"/>
          <w:i/>
          <w:iCs/>
          <w:sz w:val="20"/>
          <w:szCs w:val="20"/>
        </w:rPr>
        <w:t xml:space="preserve"> </w:t>
      </w:r>
      <w:proofErr w:type="spellStart"/>
      <w:r w:rsidR="005338EB" w:rsidRPr="00FF4E76">
        <w:rPr>
          <w:rFonts w:ascii="Times New Roman" w:eastAsia="Times New Roman" w:hAnsi="Times New Roman" w:cs="Times New Roman"/>
          <w:i/>
          <w:iCs/>
          <w:sz w:val="20"/>
          <w:szCs w:val="20"/>
        </w:rPr>
        <w:t>Jenderal</w:t>
      </w:r>
      <w:proofErr w:type="spellEnd"/>
      <w:r w:rsidR="005338EB" w:rsidRPr="00FF4E76">
        <w:rPr>
          <w:rFonts w:ascii="Times New Roman" w:eastAsia="Times New Roman" w:hAnsi="Times New Roman" w:cs="Times New Roman"/>
          <w:i/>
          <w:iCs/>
          <w:sz w:val="20"/>
          <w:szCs w:val="20"/>
        </w:rPr>
        <w:t xml:space="preserve"> Pajak</w:t>
      </w:r>
    </w:p>
    <w:p w14:paraId="68F780BC" w14:textId="7BE651EA" w:rsidR="005338EB" w:rsidRPr="00FF4E76" w:rsidRDefault="00FF4E76" w:rsidP="00FF4E76">
      <w:pPr>
        <w:pStyle w:val="ListParagraph"/>
        <w:spacing w:line="240" w:lineRule="auto"/>
        <w:ind w:left="0"/>
        <w:jc w:val="center"/>
        <w:rPr>
          <w:rFonts w:ascii="Times New Roman" w:eastAsia="Times New Roman" w:hAnsi="Times New Roman" w:cs="Times New Roman"/>
          <w:i/>
          <w:iCs/>
          <w:sz w:val="20"/>
          <w:szCs w:val="20"/>
        </w:rPr>
      </w:pPr>
      <w:r w:rsidRPr="00FF4E76">
        <w:rPr>
          <w:rFonts w:ascii="Times New Roman" w:hAnsi="Times New Roman" w:cs="Times New Roman"/>
          <w:i/>
          <w:iCs/>
          <w:sz w:val="20"/>
          <w:szCs w:val="20"/>
          <w:shd w:val="clear" w:color="auto" w:fill="FFFFFF"/>
          <w:vertAlign w:val="superscript"/>
        </w:rPr>
        <w:t>2)</w:t>
      </w:r>
      <w:r w:rsidR="005338EB" w:rsidRPr="00FF4E76">
        <w:rPr>
          <w:rFonts w:ascii="Times New Roman" w:hAnsi="Times New Roman" w:cs="Times New Roman"/>
          <w:i/>
          <w:iCs/>
          <w:sz w:val="20"/>
          <w:szCs w:val="20"/>
          <w:shd w:val="clear" w:color="auto" w:fill="FFFFFF"/>
        </w:rPr>
        <w:t>akbar.saputra@kemenkeu.go.id</w:t>
      </w:r>
      <w:r w:rsidR="005338EB" w:rsidRPr="00FF4E76">
        <w:rPr>
          <w:rFonts w:ascii="Times New Roman" w:eastAsia="Times New Roman" w:hAnsi="Times New Roman" w:cs="Times New Roman"/>
          <w:i/>
          <w:iCs/>
          <w:sz w:val="20"/>
          <w:szCs w:val="20"/>
        </w:rPr>
        <w:t xml:space="preserve">, </w:t>
      </w:r>
      <w:proofErr w:type="spellStart"/>
      <w:r w:rsidR="005338EB" w:rsidRPr="00FF4E76">
        <w:rPr>
          <w:rFonts w:ascii="Times New Roman" w:eastAsia="Times New Roman" w:hAnsi="Times New Roman" w:cs="Times New Roman"/>
          <w:i/>
          <w:iCs/>
          <w:sz w:val="20"/>
          <w:szCs w:val="20"/>
        </w:rPr>
        <w:t>Direktorat</w:t>
      </w:r>
      <w:proofErr w:type="spellEnd"/>
      <w:r w:rsidR="005338EB" w:rsidRPr="00FF4E76">
        <w:rPr>
          <w:rFonts w:ascii="Times New Roman" w:eastAsia="Times New Roman" w:hAnsi="Times New Roman" w:cs="Times New Roman"/>
          <w:i/>
          <w:iCs/>
          <w:sz w:val="20"/>
          <w:szCs w:val="20"/>
        </w:rPr>
        <w:t xml:space="preserve"> </w:t>
      </w:r>
      <w:proofErr w:type="spellStart"/>
      <w:r w:rsidR="005338EB" w:rsidRPr="00FF4E76">
        <w:rPr>
          <w:rFonts w:ascii="Times New Roman" w:eastAsia="Times New Roman" w:hAnsi="Times New Roman" w:cs="Times New Roman"/>
          <w:i/>
          <w:iCs/>
          <w:sz w:val="20"/>
          <w:szCs w:val="20"/>
        </w:rPr>
        <w:t>Jenderal</w:t>
      </w:r>
      <w:proofErr w:type="spellEnd"/>
      <w:r w:rsidR="005338EB" w:rsidRPr="00FF4E76">
        <w:rPr>
          <w:rFonts w:ascii="Times New Roman" w:eastAsia="Times New Roman" w:hAnsi="Times New Roman" w:cs="Times New Roman"/>
          <w:i/>
          <w:iCs/>
          <w:sz w:val="20"/>
          <w:szCs w:val="20"/>
        </w:rPr>
        <w:t xml:space="preserve"> Pajak</w:t>
      </w:r>
    </w:p>
    <w:p w14:paraId="0F4B8439" w14:textId="77777777" w:rsidR="004C4F54" w:rsidRDefault="004C4F54" w:rsidP="004C4F54">
      <w:pPr>
        <w:spacing w:after="120"/>
        <w:jc w:val="center"/>
        <w:rPr>
          <w:rFonts w:ascii="Times New Roman" w:eastAsia="Times New Roman" w:hAnsi="Times New Roman" w:cs="Times New Roman"/>
          <w:sz w:val="24"/>
          <w:szCs w:val="24"/>
        </w:rPr>
      </w:pPr>
    </w:p>
    <w:p w14:paraId="7485E25C" w14:textId="7488F01F" w:rsidR="004C4F54" w:rsidRPr="008A05B7" w:rsidRDefault="004C4F54">
      <w:pPr>
        <w:spacing w:after="120"/>
        <w:jc w:val="both"/>
        <w:rPr>
          <w:rFonts w:ascii="Times New Roman" w:eastAsia="Times New Roman" w:hAnsi="Times New Roman" w:cs="Times New Roman"/>
          <w:b/>
          <w:bCs/>
          <w:i/>
          <w:iCs/>
          <w:sz w:val="20"/>
          <w:szCs w:val="20"/>
        </w:rPr>
      </w:pPr>
      <w:r w:rsidRPr="008A05B7">
        <w:rPr>
          <w:rFonts w:ascii="Times New Roman" w:eastAsia="Times New Roman" w:hAnsi="Times New Roman" w:cs="Times New Roman"/>
          <w:b/>
          <w:bCs/>
          <w:i/>
          <w:iCs/>
          <w:sz w:val="20"/>
          <w:szCs w:val="20"/>
        </w:rPr>
        <w:t>Abstract</w:t>
      </w:r>
    </w:p>
    <w:p w14:paraId="50056B5E" w14:textId="2924348E" w:rsidR="004C4F54" w:rsidRDefault="004C4F54">
      <w:pPr>
        <w:spacing w:after="120"/>
        <w:jc w:val="both"/>
        <w:rPr>
          <w:rFonts w:ascii="Times New Roman" w:eastAsia="Times New Roman" w:hAnsi="Times New Roman" w:cs="Times New Roman"/>
          <w:i/>
          <w:iCs/>
          <w:sz w:val="20"/>
          <w:szCs w:val="20"/>
        </w:rPr>
      </w:pPr>
      <w:r w:rsidRPr="004C4F54">
        <w:rPr>
          <w:rFonts w:ascii="Times New Roman" w:eastAsia="Times New Roman" w:hAnsi="Times New Roman" w:cs="Times New Roman"/>
          <w:i/>
          <w:iCs/>
          <w:sz w:val="20"/>
          <w:szCs w:val="20"/>
        </w:rPr>
        <w:t>This study analyzes the effectiveness and limitations of the Minister of Finance Regulation (PMK) Number 50 of 2025 in the taxation of crypto assets amid the shift from centralized exchanges to decentralized exchanges. Employing a qualitative approach with a policy study design, data were collected through a literature review of domestic regulations, international guidelines, and academic publications. The theoretical framework encompasses critical realism, deterrence theory, legal and institutional theory, and behavioral economics. The main findings indicate that PMK Number 50 of 2025 is administratively effective in centralized exchanges, as it relies on the designation of tax collectors, user identification through Know Your Customer (KYC) procedures, and a withholding-at-source mechanism. However, the regulation is incompatible with the characteristics of decentralized exchanges, which are permissionless, noncustodial, pseudonymous, and cross-jurisdictional. Consequently, this creates an illusion of compliance, tax gaps, and horizontal inequity between participants in centralized and decentralized exchanges. Policy implications include the need to shift from entity-based collection toward compliance by design at the protocol level, expanding tax capture at on-ramp and off-ramp gateways, utilizing on-chain analytics and blockchain forensics, and adopting cross-border information exchange standards such as the Crypto-Asset Reporting Framework and the Travel Rule. Concrete recommendations involve developing a regulatory sandbox for regulated decentralized finance, integrating tax-reporting oracles into smart contracts, and strengthening the institutional capacity of the Directorate General of Taxes through a center of excellence for digital taxation.</w:t>
      </w:r>
    </w:p>
    <w:p w14:paraId="57968D3D" w14:textId="784AD462" w:rsidR="004C4F54" w:rsidRPr="008A05B7" w:rsidRDefault="004C4F54">
      <w:pPr>
        <w:spacing w:after="120"/>
        <w:jc w:val="both"/>
        <w:rPr>
          <w:rFonts w:ascii="Times New Roman" w:eastAsia="Times New Roman" w:hAnsi="Times New Roman" w:cs="Times New Roman"/>
          <w:i/>
          <w:iCs/>
          <w:sz w:val="20"/>
          <w:szCs w:val="20"/>
        </w:rPr>
      </w:pPr>
      <w:r w:rsidRPr="00EF7219">
        <w:rPr>
          <w:rFonts w:ascii="Times New Roman" w:eastAsia="Times New Roman" w:hAnsi="Times New Roman" w:cs="Times New Roman"/>
          <w:b/>
          <w:bCs/>
          <w:i/>
          <w:iCs/>
          <w:sz w:val="20"/>
          <w:szCs w:val="20"/>
        </w:rPr>
        <w:t>Keywords</w:t>
      </w:r>
      <w:r>
        <w:rPr>
          <w:rFonts w:ascii="Times New Roman" w:eastAsia="Times New Roman" w:hAnsi="Times New Roman" w:cs="Times New Roman"/>
          <w:i/>
          <w:iCs/>
          <w:sz w:val="20"/>
          <w:szCs w:val="20"/>
        </w:rPr>
        <w:t xml:space="preserve">: </w:t>
      </w:r>
      <w:r w:rsidR="008A05B7" w:rsidRPr="008A05B7">
        <w:rPr>
          <w:rFonts w:ascii="Times New Roman" w:eastAsia="Times New Roman" w:hAnsi="Times New Roman" w:cs="Times New Roman"/>
          <w:i/>
          <w:iCs/>
          <w:sz w:val="20"/>
          <w:szCs w:val="20"/>
        </w:rPr>
        <w:t xml:space="preserve">crypto, taxation, decentralized exchanges, analytics, </w:t>
      </w:r>
      <w:r w:rsidR="003F6EB3" w:rsidRPr="008A05B7">
        <w:rPr>
          <w:rFonts w:ascii="Times New Roman" w:eastAsia="Times New Roman" w:hAnsi="Times New Roman" w:cs="Times New Roman"/>
          <w:i/>
          <w:iCs/>
          <w:sz w:val="20"/>
          <w:szCs w:val="20"/>
        </w:rPr>
        <w:t>withholding</w:t>
      </w:r>
      <w:r w:rsidR="008A05B7" w:rsidRPr="008A05B7">
        <w:rPr>
          <w:rFonts w:ascii="Times New Roman" w:eastAsia="Times New Roman" w:hAnsi="Times New Roman" w:cs="Times New Roman"/>
          <w:i/>
          <w:iCs/>
          <w:sz w:val="20"/>
          <w:szCs w:val="20"/>
        </w:rPr>
        <w:t>, blockchain forensics</w:t>
      </w:r>
    </w:p>
    <w:p w14:paraId="39C1998B" w14:textId="77777777" w:rsidR="00BB17A0" w:rsidRPr="008A05B7" w:rsidRDefault="000556AB">
      <w:pPr>
        <w:spacing w:after="120"/>
        <w:jc w:val="both"/>
        <w:rPr>
          <w:rFonts w:ascii="Times New Roman" w:eastAsia="Times New Roman" w:hAnsi="Times New Roman" w:cs="Times New Roman"/>
          <w:b/>
          <w:sz w:val="20"/>
          <w:szCs w:val="20"/>
        </w:rPr>
      </w:pPr>
      <w:proofErr w:type="spellStart"/>
      <w:r w:rsidRPr="008A05B7">
        <w:rPr>
          <w:rFonts w:ascii="Times New Roman" w:eastAsia="Times New Roman" w:hAnsi="Times New Roman" w:cs="Times New Roman"/>
          <w:b/>
          <w:sz w:val="20"/>
          <w:szCs w:val="20"/>
        </w:rPr>
        <w:t>Abstrak</w:t>
      </w:r>
      <w:proofErr w:type="spellEnd"/>
    </w:p>
    <w:p w14:paraId="532C400A" w14:textId="1E8D9B9A" w:rsidR="00BB17A0" w:rsidRDefault="000556AB">
      <w:pPr>
        <w:spacing w:after="120"/>
        <w:jc w:val="both"/>
        <w:rPr>
          <w:rFonts w:ascii="Times New Roman" w:eastAsia="Times New Roman" w:hAnsi="Times New Roman" w:cs="Times New Roman"/>
          <w:sz w:val="20"/>
          <w:szCs w:val="20"/>
        </w:rPr>
      </w:pPr>
      <w:proofErr w:type="spellStart"/>
      <w:r w:rsidRPr="008A05B7">
        <w:rPr>
          <w:rFonts w:ascii="Times New Roman" w:eastAsia="Times New Roman" w:hAnsi="Times New Roman" w:cs="Times New Roman"/>
          <w:sz w:val="20"/>
          <w:szCs w:val="20"/>
        </w:rPr>
        <w:t>Penelitian</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ini</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menganalisis</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efektivitas</w:t>
      </w:r>
      <w:proofErr w:type="spellEnd"/>
      <w:r w:rsidRPr="008A05B7">
        <w:rPr>
          <w:rFonts w:ascii="Times New Roman" w:eastAsia="Times New Roman" w:hAnsi="Times New Roman" w:cs="Times New Roman"/>
          <w:sz w:val="20"/>
          <w:szCs w:val="20"/>
        </w:rPr>
        <w:t xml:space="preserve"> dan </w:t>
      </w:r>
      <w:proofErr w:type="spellStart"/>
      <w:r w:rsidRPr="008A05B7">
        <w:rPr>
          <w:rFonts w:ascii="Times New Roman" w:eastAsia="Times New Roman" w:hAnsi="Times New Roman" w:cs="Times New Roman"/>
          <w:sz w:val="20"/>
          <w:szCs w:val="20"/>
        </w:rPr>
        <w:t>keterbatasan</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Peraturan</w:t>
      </w:r>
      <w:proofErr w:type="spellEnd"/>
      <w:r w:rsidRPr="008A05B7">
        <w:rPr>
          <w:rFonts w:ascii="Times New Roman" w:eastAsia="Times New Roman" w:hAnsi="Times New Roman" w:cs="Times New Roman"/>
          <w:sz w:val="20"/>
          <w:szCs w:val="20"/>
        </w:rPr>
        <w:t xml:space="preserve"> Menteri </w:t>
      </w:r>
      <w:proofErr w:type="spellStart"/>
      <w:r w:rsidRPr="008A05B7">
        <w:rPr>
          <w:rFonts w:ascii="Times New Roman" w:eastAsia="Times New Roman" w:hAnsi="Times New Roman" w:cs="Times New Roman"/>
          <w:sz w:val="20"/>
          <w:szCs w:val="20"/>
        </w:rPr>
        <w:t>Keuangan</w:t>
      </w:r>
      <w:proofErr w:type="spellEnd"/>
      <w:r w:rsidRPr="008A05B7">
        <w:rPr>
          <w:rFonts w:ascii="Times New Roman" w:eastAsia="Times New Roman" w:hAnsi="Times New Roman" w:cs="Times New Roman"/>
          <w:sz w:val="20"/>
          <w:szCs w:val="20"/>
        </w:rPr>
        <w:t xml:space="preserve"> (PMK) </w:t>
      </w:r>
      <w:proofErr w:type="spellStart"/>
      <w:r w:rsidRPr="008A05B7">
        <w:rPr>
          <w:rFonts w:ascii="Times New Roman" w:eastAsia="Times New Roman" w:hAnsi="Times New Roman" w:cs="Times New Roman"/>
          <w:sz w:val="20"/>
          <w:szCs w:val="20"/>
        </w:rPr>
        <w:t>Nomor</w:t>
      </w:r>
      <w:proofErr w:type="spellEnd"/>
      <w:r w:rsidRPr="008A05B7">
        <w:rPr>
          <w:rFonts w:ascii="Times New Roman" w:eastAsia="Times New Roman" w:hAnsi="Times New Roman" w:cs="Times New Roman"/>
          <w:sz w:val="20"/>
          <w:szCs w:val="20"/>
        </w:rPr>
        <w:t xml:space="preserve"> 50 </w:t>
      </w:r>
      <w:proofErr w:type="spellStart"/>
      <w:r w:rsidRPr="008A05B7">
        <w:rPr>
          <w:rFonts w:ascii="Times New Roman" w:eastAsia="Times New Roman" w:hAnsi="Times New Roman" w:cs="Times New Roman"/>
          <w:sz w:val="20"/>
          <w:szCs w:val="20"/>
        </w:rPr>
        <w:t>Tahun</w:t>
      </w:r>
      <w:proofErr w:type="spellEnd"/>
      <w:r w:rsidRPr="008A05B7">
        <w:rPr>
          <w:rFonts w:ascii="Times New Roman" w:eastAsia="Times New Roman" w:hAnsi="Times New Roman" w:cs="Times New Roman"/>
          <w:sz w:val="20"/>
          <w:szCs w:val="20"/>
        </w:rPr>
        <w:t xml:space="preserve"> 2025 </w:t>
      </w:r>
      <w:proofErr w:type="spellStart"/>
      <w:r w:rsidRPr="008A05B7">
        <w:rPr>
          <w:rFonts w:ascii="Times New Roman" w:eastAsia="Times New Roman" w:hAnsi="Times New Roman" w:cs="Times New Roman"/>
          <w:sz w:val="20"/>
          <w:szCs w:val="20"/>
        </w:rPr>
        <w:t>dalam</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pemajakan</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aset</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kripto</w:t>
      </w:r>
      <w:proofErr w:type="spellEnd"/>
      <w:r w:rsidRPr="008A05B7">
        <w:rPr>
          <w:rFonts w:ascii="Times New Roman" w:eastAsia="Times New Roman" w:hAnsi="Times New Roman" w:cs="Times New Roman"/>
          <w:sz w:val="20"/>
          <w:szCs w:val="20"/>
        </w:rPr>
        <w:t xml:space="preserve"> pada era </w:t>
      </w:r>
      <w:proofErr w:type="spellStart"/>
      <w:r w:rsidRPr="008A05B7">
        <w:rPr>
          <w:rFonts w:ascii="Times New Roman" w:eastAsia="Times New Roman" w:hAnsi="Times New Roman" w:cs="Times New Roman"/>
          <w:sz w:val="20"/>
          <w:szCs w:val="20"/>
        </w:rPr>
        <w:t>pergeseran</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dari</w:t>
      </w:r>
      <w:proofErr w:type="spellEnd"/>
      <w:r w:rsidRPr="008A05B7">
        <w:rPr>
          <w:rFonts w:ascii="Times New Roman" w:eastAsia="Times New Roman" w:hAnsi="Times New Roman" w:cs="Times New Roman"/>
          <w:sz w:val="20"/>
          <w:szCs w:val="20"/>
        </w:rPr>
        <w:t xml:space="preserve"> </w:t>
      </w:r>
      <w:r w:rsidRPr="008A05B7">
        <w:rPr>
          <w:rFonts w:ascii="Times New Roman" w:eastAsia="Times New Roman" w:hAnsi="Times New Roman" w:cs="Times New Roman"/>
          <w:i/>
          <w:sz w:val="20"/>
          <w:szCs w:val="20"/>
        </w:rPr>
        <w:t>centralized exchange</w:t>
      </w:r>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ke</w:t>
      </w:r>
      <w:proofErr w:type="spellEnd"/>
      <w:r w:rsidRPr="008A05B7">
        <w:rPr>
          <w:rFonts w:ascii="Times New Roman" w:eastAsia="Times New Roman" w:hAnsi="Times New Roman" w:cs="Times New Roman"/>
          <w:sz w:val="20"/>
          <w:szCs w:val="20"/>
        </w:rPr>
        <w:t xml:space="preserve"> </w:t>
      </w:r>
      <w:r w:rsidRPr="008A05B7">
        <w:rPr>
          <w:rFonts w:ascii="Times New Roman" w:eastAsia="Times New Roman" w:hAnsi="Times New Roman" w:cs="Times New Roman"/>
          <w:i/>
          <w:sz w:val="20"/>
          <w:szCs w:val="20"/>
        </w:rPr>
        <w:t>decentralized exchange</w:t>
      </w:r>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Menggunakan</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pendekatan</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kualitatif</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dengan</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desain</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studi</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kebijakan</w:t>
      </w:r>
      <w:proofErr w:type="spellEnd"/>
      <w:r w:rsidRPr="008A05B7">
        <w:rPr>
          <w:rFonts w:ascii="Times New Roman" w:eastAsia="Times New Roman" w:hAnsi="Times New Roman" w:cs="Times New Roman"/>
          <w:sz w:val="20"/>
          <w:szCs w:val="20"/>
        </w:rPr>
        <w:t xml:space="preserve">, data </w:t>
      </w:r>
      <w:proofErr w:type="spellStart"/>
      <w:r w:rsidRPr="008A05B7">
        <w:rPr>
          <w:rFonts w:ascii="Times New Roman" w:eastAsia="Times New Roman" w:hAnsi="Times New Roman" w:cs="Times New Roman"/>
          <w:sz w:val="20"/>
          <w:szCs w:val="20"/>
        </w:rPr>
        <w:t>dihimpun</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melalui</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studi</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literatur</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atas</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peraturan</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domestik</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pedoman</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internasional</w:t>
      </w:r>
      <w:proofErr w:type="spellEnd"/>
      <w:r w:rsidRPr="008A05B7">
        <w:rPr>
          <w:rFonts w:ascii="Times New Roman" w:eastAsia="Times New Roman" w:hAnsi="Times New Roman" w:cs="Times New Roman"/>
          <w:sz w:val="20"/>
          <w:szCs w:val="20"/>
        </w:rPr>
        <w:t xml:space="preserve"> dan </w:t>
      </w:r>
      <w:proofErr w:type="spellStart"/>
      <w:r w:rsidRPr="008A05B7">
        <w:rPr>
          <w:rFonts w:ascii="Times New Roman" w:eastAsia="Times New Roman" w:hAnsi="Times New Roman" w:cs="Times New Roman"/>
          <w:sz w:val="20"/>
          <w:szCs w:val="20"/>
        </w:rPr>
        <w:t>publikasi</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akademik</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Kerangka</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teoritis</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mencakup</w:t>
      </w:r>
      <w:proofErr w:type="spellEnd"/>
      <w:r w:rsidRPr="008A05B7">
        <w:rPr>
          <w:rFonts w:ascii="Times New Roman" w:eastAsia="Times New Roman" w:hAnsi="Times New Roman" w:cs="Times New Roman"/>
          <w:sz w:val="20"/>
          <w:szCs w:val="20"/>
        </w:rPr>
        <w:t xml:space="preserve"> </w:t>
      </w:r>
      <w:r w:rsidRPr="008A05B7">
        <w:rPr>
          <w:rFonts w:ascii="Times New Roman" w:eastAsia="Times New Roman" w:hAnsi="Times New Roman" w:cs="Times New Roman"/>
          <w:i/>
          <w:sz w:val="20"/>
          <w:szCs w:val="20"/>
        </w:rPr>
        <w:t>critical realism</w:t>
      </w:r>
      <w:r w:rsidRPr="008A05B7">
        <w:rPr>
          <w:rFonts w:ascii="Times New Roman" w:eastAsia="Times New Roman" w:hAnsi="Times New Roman" w:cs="Times New Roman"/>
          <w:sz w:val="20"/>
          <w:szCs w:val="20"/>
        </w:rPr>
        <w:t xml:space="preserve">, </w:t>
      </w:r>
      <w:r w:rsidRPr="008A05B7">
        <w:rPr>
          <w:rFonts w:ascii="Times New Roman" w:eastAsia="Times New Roman" w:hAnsi="Times New Roman" w:cs="Times New Roman"/>
          <w:i/>
          <w:sz w:val="20"/>
          <w:szCs w:val="20"/>
        </w:rPr>
        <w:t>deterrence theory</w:t>
      </w:r>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teori</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hukum</w:t>
      </w:r>
      <w:proofErr w:type="spellEnd"/>
      <w:r w:rsidRPr="008A05B7">
        <w:rPr>
          <w:rFonts w:ascii="Times New Roman" w:eastAsia="Times New Roman" w:hAnsi="Times New Roman" w:cs="Times New Roman"/>
          <w:sz w:val="20"/>
          <w:szCs w:val="20"/>
        </w:rPr>
        <w:t xml:space="preserve"> dan </w:t>
      </w:r>
      <w:proofErr w:type="spellStart"/>
      <w:r w:rsidRPr="008A05B7">
        <w:rPr>
          <w:rFonts w:ascii="Times New Roman" w:eastAsia="Times New Roman" w:hAnsi="Times New Roman" w:cs="Times New Roman"/>
          <w:sz w:val="20"/>
          <w:szCs w:val="20"/>
        </w:rPr>
        <w:t>kelembagaan</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serta</w:t>
      </w:r>
      <w:proofErr w:type="spellEnd"/>
      <w:r w:rsidRPr="008A05B7">
        <w:rPr>
          <w:rFonts w:ascii="Times New Roman" w:eastAsia="Times New Roman" w:hAnsi="Times New Roman" w:cs="Times New Roman"/>
          <w:sz w:val="20"/>
          <w:szCs w:val="20"/>
        </w:rPr>
        <w:t xml:space="preserve"> </w:t>
      </w:r>
      <w:r w:rsidRPr="008A05B7">
        <w:rPr>
          <w:rFonts w:ascii="Times New Roman" w:eastAsia="Times New Roman" w:hAnsi="Times New Roman" w:cs="Times New Roman"/>
          <w:i/>
          <w:sz w:val="20"/>
          <w:szCs w:val="20"/>
        </w:rPr>
        <w:t>behavioral economics</w:t>
      </w:r>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Temuan</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utama</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menunjukkan</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bahwa</w:t>
      </w:r>
      <w:proofErr w:type="spellEnd"/>
      <w:r w:rsidRPr="008A05B7">
        <w:rPr>
          <w:rFonts w:ascii="Times New Roman" w:eastAsia="Times New Roman" w:hAnsi="Times New Roman" w:cs="Times New Roman"/>
          <w:sz w:val="20"/>
          <w:szCs w:val="20"/>
        </w:rPr>
        <w:t xml:space="preserve"> PMK </w:t>
      </w:r>
      <w:proofErr w:type="spellStart"/>
      <w:r w:rsidRPr="008A05B7">
        <w:rPr>
          <w:rFonts w:ascii="Times New Roman" w:eastAsia="Times New Roman" w:hAnsi="Times New Roman" w:cs="Times New Roman"/>
          <w:sz w:val="20"/>
          <w:szCs w:val="20"/>
        </w:rPr>
        <w:t>Nomor</w:t>
      </w:r>
      <w:proofErr w:type="spellEnd"/>
      <w:r w:rsidRPr="008A05B7">
        <w:rPr>
          <w:rFonts w:ascii="Times New Roman" w:eastAsia="Times New Roman" w:hAnsi="Times New Roman" w:cs="Times New Roman"/>
          <w:sz w:val="20"/>
          <w:szCs w:val="20"/>
        </w:rPr>
        <w:t xml:space="preserve"> 50 </w:t>
      </w:r>
      <w:proofErr w:type="spellStart"/>
      <w:r w:rsidRPr="008A05B7">
        <w:rPr>
          <w:rFonts w:ascii="Times New Roman" w:eastAsia="Times New Roman" w:hAnsi="Times New Roman" w:cs="Times New Roman"/>
          <w:sz w:val="20"/>
          <w:szCs w:val="20"/>
        </w:rPr>
        <w:t>Tahun</w:t>
      </w:r>
      <w:proofErr w:type="spellEnd"/>
      <w:r w:rsidRPr="008A05B7">
        <w:rPr>
          <w:rFonts w:ascii="Times New Roman" w:eastAsia="Times New Roman" w:hAnsi="Times New Roman" w:cs="Times New Roman"/>
          <w:sz w:val="20"/>
          <w:szCs w:val="20"/>
        </w:rPr>
        <w:t xml:space="preserve"> 2025 </w:t>
      </w:r>
      <w:proofErr w:type="spellStart"/>
      <w:r w:rsidRPr="008A05B7">
        <w:rPr>
          <w:rFonts w:ascii="Times New Roman" w:eastAsia="Times New Roman" w:hAnsi="Times New Roman" w:cs="Times New Roman"/>
          <w:sz w:val="20"/>
          <w:szCs w:val="20"/>
        </w:rPr>
        <w:t>secara</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administratif</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efektif</w:t>
      </w:r>
      <w:proofErr w:type="spellEnd"/>
      <w:r w:rsidRPr="008A05B7">
        <w:rPr>
          <w:rFonts w:ascii="Times New Roman" w:eastAsia="Times New Roman" w:hAnsi="Times New Roman" w:cs="Times New Roman"/>
          <w:sz w:val="20"/>
          <w:szCs w:val="20"/>
        </w:rPr>
        <w:t xml:space="preserve"> di </w:t>
      </w:r>
      <w:r w:rsidRPr="008A05B7">
        <w:rPr>
          <w:rFonts w:ascii="Times New Roman" w:eastAsia="Times New Roman" w:hAnsi="Times New Roman" w:cs="Times New Roman"/>
          <w:i/>
          <w:sz w:val="20"/>
          <w:szCs w:val="20"/>
        </w:rPr>
        <w:t>centralized exchange</w:t>
      </w:r>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karena</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bertumpu</w:t>
      </w:r>
      <w:proofErr w:type="spellEnd"/>
      <w:r w:rsidRPr="008A05B7">
        <w:rPr>
          <w:rFonts w:ascii="Times New Roman" w:eastAsia="Times New Roman" w:hAnsi="Times New Roman" w:cs="Times New Roman"/>
          <w:sz w:val="20"/>
          <w:szCs w:val="20"/>
        </w:rPr>
        <w:t xml:space="preserve"> pada </w:t>
      </w:r>
      <w:proofErr w:type="spellStart"/>
      <w:r w:rsidRPr="008A05B7">
        <w:rPr>
          <w:rFonts w:ascii="Times New Roman" w:eastAsia="Times New Roman" w:hAnsi="Times New Roman" w:cs="Times New Roman"/>
          <w:sz w:val="20"/>
          <w:szCs w:val="20"/>
        </w:rPr>
        <w:t>penunjukan</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pemungut</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identifikasi</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pengguna</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melalui</w:t>
      </w:r>
      <w:proofErr w:type="spellEnd"/>
      <w:r w:rsidRPr="008A05B7">
        <w:rPr>
          <w:rFonts w:ascii="Times New Roman" w:eastAsia="Times New Roman" w:hAnsi="Times New Roman" w:cs="Times New Roman"/>
          <w:sz w:val="20"/>
          <w:szCs w:val="20"/>
        </w:rPr>
        <w:t xml:space="preserve"> </w:t>
      </w:r>
      <w:r w:rsidRPr="008A05B7">
        <w:rPr>
          <w:rFonts w:ascii="Times New Roman" w:eastAsia="Times New Roman" w:hAnsi="Times New Roman" w:cs="Times New Roman"/>
          <w:i/>
          <w:sz w:val="20"/>
          <w:szCs w:val="20"/>
        </w:rPr>
        <w:t>Know Your Customer</w:t>
      </w:r>
      <w:r w:rsidRPr="008A05B7">
        <w:rPr>
          <w:rFonts w:ascii="Times New Roman" w:eastAsia="Times New Roman" w:hAnsi="Times New Roman" w:cs="Times New Roman"/>
          <w:sz w:val="20"/>
          <w:szCs w:val="20"/>
        </w:rPr>
        <w:t xml:space="preserve"> (KYC), dan </w:t>
      </w:r>
      <w:proofErr w:type="spellStart"/>
      <w:r w:rsidRPr="008A05B7">
        <w:rPr>
          <w:rFonts w:ascii="Times New Roman" w:eastAsia="Times New Roman" w:hAnsi="Times New Roman" w:cs="Times New Roman"/>
          <w:sz w:val="20"/>
          <w:szCs w:val="20"/>
        </w:rPr>
        <w:t>mekanisme</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pemotongan</w:t>
      </w:r>
      <w:proofErr w:type="spellEnd"/>
      <w:r w:rsidRPr="008A05B7">
        <w:rPr>
          <w:rFonts w:ascii="Times New Roman" w:eastAsia="Times New Roman" w:hAnsi="Times New Roman" w:cs="Times New Roman"/>
          <w:sz w:val="20"/>
          <w:szCs w:val="20"/>
        </w:rPr>
        <w:t xml:space="preserve"> di </w:t>
      </w:r>
      <w:proofErr w:type="spellStart"/>
      <w:r w:rsidRPr="008A05B7">
        <w:rPr>
          <w:rFonts w:ascii="Times New Roman" w:eastAsia="Times New Roman" w:hAnsi="Times New Roman" w:cs="Times New Roman"/>
          <w:sz w:val="20"/>
          <w:szCs w:val="20"/>
        </w:rPr>
        <w:t>muka</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Namun</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regulasi</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ini</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tidak</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kompatibel</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dengan</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karakter</w:t>
      </w:r>
      <w:proofErr w:type="spellEnd"/>
      <w:r w:rsidRPr="008A05B7">
        <w:rPr>
          <w:rFonts w:ascii="Times New Roman" w:eastAsia="Times New Roman" w:hAnsi="Times New Roman" w:cs="Times New Roman"/>
          <w:sz w:val="20"/>
          <w:szCs w:val="20"/>
        </w:rPr>
        <w:t xml:space="preserve"> </w:t>
      </w:r>
      <w:r w:rsidRPr="008A05B7">
        <w:rPr>
          <w:rFonts w:ascii="Times New Roman" w:eastAsia="Times New Roman" w:hAnsi="Times New Roman" w:cs="Times New Roman"/>
          <w:i/>
          <w:sz w:val="20"/>
          <w:szCs w:val="20"/>
        </w:rPr>
        <w:t>decentralized exchange</w:t>
      </w:r>
      <w:r w:rsidRPr="008A05B7">
        <w:rPr>
          <w:rFonts w:ascii="Times New Roman" w:eastAsia="Times New Roman" w:hAnsi="Times New Roman" w:cs="Times New Roman"/>
          <w:sz w:val="20"/>
          <w:szCs w:val="20"/>
        </w:rPr>
        <w:t xml:space="preserve"> yang </w:t>
      </w:r>
      <w:proofErr w:type="spellStart"/>
      <w:r w:rsidRPr="008A05B7">
        <w:rPr>
          <w:rFonts w:ascii="Times New Roman" w:eastAsia="Times New Roman" w:hAnsi="Times New Roman" w:cs="Times New Roman"/>
          <w:sz w:val="20"/>
          <w:szCs w:val="20"/>
        </w:rPr>
        <w:t>bersifat</w:t>
      </w:r>
      <w:proofErr w:type="spellEnd"/>
      <w:r w:rsidRPr="008A05B7">
        <w:rPr>
          <w:rFonts w:ascii="Times New Roman" w:eastAsia="Times New Roman" w:hAnsi="Times New Roman" w:cs="Times New Roman"/>
          <w:sz w:val="20"/>
          <w:szCs w:val="20"/>
        </w:rPr>
        <w:t xml:space="preserve"> </w:t>
      </w:r>
      <w:r w:rsidRPr="008A05B7">
        <w:rPr>
          <w:rFonts w:ascii="Times New Roman" w:eastAsia="Times New Roman" w:hAnsi="Times New Roman" w:cs="Times New Roman"/>
          <w:i/>
          <w:sz w:val="20"/>
          <w:szCs w:val="20"/>
        </w:rPr>
        <w:t>permissionless</w:t>
      </w:r>
      <w:r w:rsidRPr="008A05B7">
        <w:rPr>
          <w:rFonts w:ascii="Times New Roman" w:eastAsia="Times New Roman" w:hAnsi="Times New Roman" w:cs="Times New Roman"/>
          <w:sz w:val="20"/>
          <w:szCs w:val="20"/>
        </w:rPr>
        <w:t xml:space="preserve">, </w:t>
      </w:r>
      <w:r w:rsidRPr="008A05B7">
        <w:rPr>
          <w:rFonts w:ascii="Times New Roman" w:eastAsia="Times New Roman" w:hAnsi="Times New Roman" w:cs="Times New Roman"/>
          <w:i/>
          <w:sz w:val="20"/>
          <w:szCs w:val="20"/>
        </w:rPr>
        <w:t>noncustodial</w:t>
      </w:r>
      <w:r w:rsidRPr="008A05B7">
        <w:rPr>
          <w:rFonts w:ascii="Times New Roman" w:eastAsia="Times New Roman" w:hAnsi="Times New Roman" w:cs="Times New Roman"/>
          <w:sz w:val="20"/>
          <w:szCs w:val="20"/>
        </w:rPr>
        <w:t xml:space="preserve">, </w:t>
      </w:r>
      <w:r w:rsidRPr="008A05B7">
        <w:rPr>
          <w:rFonts w:ascii="Times New Roman" w:eastAsia="Times New Roman" w:hAnsi="Times New Roman" w:cs="Times New Roman"/>
          <w:i/>
          <w:sz w:val="20"/>
          <w:szCs w:val="20"/>
        </w:rPr>
        <w:t>pseudonymous</w:t>
      </w:r>
      <w:r w:rsidRPr="008A05B7">
        <w:rPr>
          <w:rFonts w:ascii="Times New Roman" w:eastAsia="Times New Roman" w:hAnsi="Times New Roman" w:cs="Times New Roman"/>
          <w:sz w:val="20"/>
          <w:szCs w:val="20"/>
        </w:rPr>
        <w:t xml:space="preserve">, dan </w:t>
      </w:r>
      <w:proofErr w:type="spellStart"/>
      <w:r w:rsidRPr="008A05B7">
        <w:rPr>
          <w:rFonts w:ascii="Times New Roman" w:eastAsia="Times New Roman" w:hAnsi="Times New Roman" w:cs="Times New Roman"/>
          <w:sz w:val="20"/>
          <w:szCs w:val="20"/>
        </w:rPr>
        <w:t>lintas</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yurisdiksi</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Akibatnya</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muncul</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ilusi</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kepatuhan</w:t>
      </w:r>
      <w:proofErr w:type="spellEnd"/>
      <w:r w:rsidRPr="008A05B7">
        <w:rPr>
          <w:rFonts w:ascii="Times New Roman" w:eastAsia="Times New Roman" w:hAnsi="Times New Roman" w:cs="Times New Roman"/>
          <w:sz w:val="20"/>
          <w:szCs w:val="20"/>
        </w:rPr>
        <w:t xml:space="preserve">, </w:t>
      </w:r>
      <w:r w:rsidRPr="008A05B7">
        <w:rPr>
          <w:rFonts w:ascii="Times New Roman" w:eastAsia="Times New Roman" w:hAnsi="Times New Roman" w:cs="Times New Roman"/>
          <w:i/>
          <w:sz w:val="20"/>
          <w:szCs w:val="20"/>
        </w:rPr>
        <w:t>tax gap</w:t>
      </w:r>
      <w:r w:rsidRPr="008A05B7">
        <w:rPr>
          <w:rFonts w:ascii="Times New Roman" w:eastAsia="Times New Roman" w:hAnsi="Times New Roman" w:cs="Times New Roman"/>
          <w:sz w:val="20"/>
          <w:szCs w:val="20"/>
        </w:rPr>
        <w:t xml:space="preserve">, dan </w:t>
      </w:r>
      <w:proofErr w:type="spellStart"/>
      <w:r w:rsidRPr="008A05B7">
        <w:rPr>
          <w:rFonts w:ascii="Times New Roman" w:eastAsia="Times New Roman" w:hAnsi="Times New Roman" w:cs="Times New Roman"/>
          <w:sz w:val="20"/>
          <w:szCs w:val="20"/>
        </w:rPr>
        <w:t>ketidakadilan</w:t>
      </w:r>
      <w:proofErr w:type="spellEnd"/>
      <w:r w:rsidRPr="008A05B7">
        <w:rPr>
          <w:rFonts w:ascii="Times New Roman" w:eastAsia="Times New Roman" w:hAnsi="Times New Roman" w:cs="Times New Roman"/>
          <w:sz w:val="20"/>
          <w:szCs w:val="20"/>
        </w:rPr>
        <w:t xml:space="preserve"> horizontal </w:t>
      </w:r>
      <w:proofErr w:type="spellStart"/>
      <w:r w:rsidRPr="008A05B7">
        <w:rPr>
          <w:rFonts w:ascii="Times New Roman" w:eastAsia="Times New Roman" w:hAnsi="Times New Roman" w:cs="Times New Roman"/>
          <w:sz w:val="20"/>
          <w:szCs w:val="20"/>
        </w:rPr>
        <w:t>antara</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pelaku</w:t>
      </w:r>
      <w:proofErr w:type="spellEnd"/>
      <w:r w:rsidRPr="008A05B7">
        <w:rPr>
          <w:rFonts w:ascii="Times New Roman" w:eastAsia="Times New Roman" w:hAnsi="Times New Roman" w:cs="Times New Roman"/>
          <w:sz w:val="20"/>
          <w:szCs w:val="20"/>
        </w:rPr>
        <w:t xml:space="preserve"> di </w:t>
      </w:r>
      <w:r w:rsidRPr="008A05B7">
        <w:rPr>
          <w:rFonts w:ascii="Times New Roman" w:eastAsia="Times New Roman" w:hAnsi="Times New Roman" w:cs="Times New Roman"/>
          <w:i/>
          <w:sz w:val="20"/>
          <w:szCs w:val="20"/>
        </w:rPr>
        <w:t>centralized exchange</w:t>
      </w:r>
      <w:r w:rsidRPr="008A05B7">
        <w:rPr>
          <w:rFonts w:ascii="Times New Roman" w:eastAsia="Times New Roman" w:hAnsi="Times New Roman" w:cs="Times New Roman"/>
          <w:sz w:val="20"/>
          <w:szCs w:val="20"/>
        </w:rPr>
        <w:t xml:space="preserve"> dan </w:t>
      </w:r>
      <w:r w:rsidRPr="008A05B7">
        <w:rPr>
          <w:rFonts w:ascii="Times New Roman" w:eastAsia="Times New Roman" w:hAnsi="Times New Roman" w:cs="Times New Roman"/>
          <w:i/>
          <w:sz w:val="20"/>
          <w:szCs w:val="20"/>
        </w:rPr>
        <w:t>decentralized exchange</w:t>
      </w:r>
      <w:r w:rsidRPr="008A05B7">
        <w:rPr>
          <w:rFonts w:ascii="Times New Roman" w:eastAsia="Times New Roman" w:hAnsi="Times New Roman" w:cs="Times New Roman"/>
          <w:sz w:val="20"/>
          <w:szCs w:val="20"/>
        </w:rPr>
        <w:t xml:space="preserve">. Implikasi </w:t>
      </w:r>
      <w:proofErr w:type="spellStart"/>
      <w:r w:rsidRPr="008A05B7">
        <w:rPr>
          <w:rFonts w:ascii="Times New Roman" w:eastAsia="Times New Roman" w:hAnsi="Times New Roman" w:cs="Times New Roman"/>
          <w:sz w:val="20"/>
          <w:szCs w:val="20"/>
        </w:rPr>
        <w:t>kebijakan</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meliputi</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kebutuhan</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pergeseran</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dari</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pemungutan</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berbasis</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entitas</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menuju</w:t>
      </w:r>
      <w:proofErr w:type="spellEnd"/>
      <w:r w:rsidRPr="008A05B7">
        <w:rPr>
          <w:rFonts w:ascii="Times New Roman" w:eastAsia="Times New Roman" w:hAnsi="Times New Roman" w:cs="Times New Roman"/>
          <w:sz w:val="20"/>
          <w:szCs w:val="20"/>
        </w:rPr>
        <w:t xml:space="preserve"> </w:t>
      </w:r>
      <w:r w:rsidRPr="008A05B7">
        <w:rPr>
          <w:rFonts w:ascii="Times New Roman" w:eastAsia="Times New Roman" w:hAnsi="Times New Roman" w:cs="Times New Roman"/>
          <w:i/>
          <w:sz w:val="20"/>
          <w:szCs w:val="20"/>
        </w:rPr>
        <w:t>compliance by design</w:t>
      </w:r>
      <w:r w:rsidRPr="008A05B7">
        <w:rPr>
          <w:rFonts w:ascii="Times New Roman" w:eastAsia="Times New Roman" w:hAnsi="Times New Roman" w:cs="Times New Roman"/>
          <w:sz w:val="20"/>
          <w:szCs w:val="20"/>
        </w:rPr>
        <w:t xml:space="preserve"> di </w:t>
      </w:r>
      <w:proofErr w:type="spellStart"/>
      <w:r w:rsidRPr="008A05B7">
        <w:rPr>
          <w:rFonts w:ascii="Times New Roman" w:eastAsia="Times New Roman" w:hAnsi="Times New Roman" w:cs="Times New Roman"/>
          <w:sz w:val="20"/>
          <w:szCs w:val="20"/>
        </w:rPr>
        <w:t>tingkat</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protokol</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perluasan</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penangkapan</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pajak</w:t>
      </w:r>
      <w:proofErr w:type="spellEnd"/>
      <w:r w:rsidRPr="008A05B7">
        <w:rPr>
          <w:rFonts w:ascii="Times New Roman" w:eastAsia="Times New Roman" w:hAnsi="Times New Roman" w:cs="Times New Roman"/>
          <w:sz w:val="20"/>
          <w:szCs w:val="20"/>
        </w:rPr>
        <w:t xml:space="preserve"> pada </w:t>
      </w:r>
      <w:r w:rsidRPr="008A05B7">
        <w:rPr>
          <w:rFonts w:ascii="Times New Roman" w:eastAsia="Times New Roman" w:hAnsi="Times New Roman" w:cs="Times New Roman"/>
          <w:i/>
          <w:sz w:val="20"/>
          <w:szCs w:val="20"/>
        </w:rPr>
        <w:t>on-ramp</w:t>
      </w:r>
      <w:r w:rsidRPr="008A05B7">
        <w:rPr>
          <w:rFonts w:ascii="Times New Roman" w:eastAsia="Times New Roman" w:hAnsi="Times New Roman" w:cs="Times New Roman"/>
          <w:sz w:val="20"/>
          <w:szCs w:val="20"/>
        </w:rPr>
        <w:t xml:space="preserve"> dan </w:t>
      </w:r>
      <w:r w:rsidRPr="008A05B7">
        <w:rPr>
          <w:rFonts w:ascii="Times New Roman" w:eastAsia="Times New Roman" w:hAnsi="Times New Roman" w:cs="Times New Roman"/>
          <w:i/>
          <w:sz w:val="20"/>
          <w:szCs w:val="20"/>
        </w:rPr>
        <w:t>off-ramp</w:t>
      </w:r>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pemanfaatan</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analitik</w:t>
      </w:r>
      <w:proofErr w:type="spellEnd"/>
      <w:r w:rsidRPr="008A05B7">
        <w:rPr>
          <w:rFonts w:ascii="Times New Roman" w:eastAsia="Times New Roman" w:hAnsi="Times New Roman" w:cs="Times New Roman"/>
          <w:sz w:val="20"/>
          <w:szCs w:val="20"/>
        </w:rPr>
        <w:t xml:space="preserve"> </w:t>
      </w:r>
      <w:r w:rsidRPr="008A05B7">
        <w:rPr>
          <w:rFonts w:ascii="Times New Roman" w:eastAsia="Times New Roman" w:hAnsi="Times New Roman" w:cs="Times New Roman"/>
          <w:i/>
          <w:sz w:val="20"/>
          <w:szCs w:val="20"/>
        </w:rPr>
        <w:t>on-chain</w:t>
      </w:r>
      <w:r w:rsidRPr="008A05B7">
        <w:rPr>
          <w:rFonts w:ascii="Times New Roman" w:eastAsia="Times New Roman" w:hAnsi="Times New Roman" w:cs="Times New Roman"/>
          <w:sz w:val="20"/>
          <w:szCs w:val="20"/>
        </w:rPr>
        <w:t xml:space="preserve"> dan </w:t>
      </w:r>
      <w:r w:rsidRPr="008A05B7">
        <w:rPr>
          <w:rFonts w:ascii="Times New Roman" w:eastAsia="Times New Roman" w:hAnsi="Times New Roman" w:cs="Times New Roman"/>
          <w:i/>
          <w:sz w:val="20"/>
          <w:szCs w:val="20"/>
        </w:rPr>
        <w:t>blockchain forensics</w:t>
      </w:r>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serta</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adopsi</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standar</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pertukaran</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informasi</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lintas</w:t>
      </w:r>
      <w:proofErr w:type="spellEnd"/>
      <w:r w:rsidRPr="008A05B7">
        <w:rPr>
          <w:rFonts w:ascii="Times New Roman" w:eastAsia="Times New Roman" w:hAnsi="Times New Roman" w:cs="Times New Roman"/>
          <w:sz w:val="20"/>
          <w:szCs w:val="20"/>
        </w:rPr>
        <w:t xml:space="preserve"> negara </w:t>
      </w:r>
      <w:proofErr w:type="spellStart"/>
      <w:r w:rsidRPr="008A05B7">
        <w:rPr>
          <w:rFonts w:ascii="Times New Roman" w:eastAsia="Times New Roman" w:hAnsi="Times New Roman" w:cs="Times New Roman"/>
          <w:sz w:val="20"/>
          <w:szCs w:val="20"/>
        </w:rPr>
        <w:t>seperti</w:t>
      </w:r>
      <w:proofErr w:type="spellEnd"/>
      <w:r w:rsidRPr="008A05B7">
        <w:rPr>
          <w:rFonts w:ascii="Times New Roman" w:eastAsia="Times New Roman" w:hAnsi="Times New Roman" w:cs="Times New Roman"/>
          <w:sz w:val="20"/>
          <w:szCs w:val="20"/>
        </w:rPr>
        <w:t xml:space="preserve"> </w:t>
      </w:r>
      <w:r w:rsidRPr="008A05B7">
        <w:rPr>
          <w:rFonts w:ascii="Times New Roman" w:eastAsia="Times New Roman" w:hAnsi="Times New Roman" w:cs="Times New Roman"/>
          <w:i/>
          <w:sz w:val="20"/>
          <w:szCs w:val="20"/>
        </w:rPr>
        <w:t>Crypto-Asset Reporting Framework</w:t>
      </w:r>
      <w:r w:rsidRPr="008A05B7">
        <w:rPr>
          <w:rFonts w:ascii="Times New Roman" w:eastAsia="Times New Roman" w:hAnsi="Times New Roman" w:cs="Times New Roman"/>
          <w:sz w:val="20"/>
          <w:szCs w:val="20"/>
        </w:rPr>
        <w:t xml:space="preserve"> dan </w:t>
      </w:r>
      <w:r w:rsidRPr="008A05B7">
        <w:rPr>
          <w:rFonts w:ascii="Times New Roman" w:eastAsia="Times New Roman" w:hAnsi="Times New Roman" w:cs="Times New Roman"/>
          <w:i/>
          <w:sz w:val="20"/>
          <w:szCs w:val="20"/>
        </w:rPr>
        <w:t>Travel Rule</w:t>
      </w:r>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Rekomendasi</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konkret</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mencakup</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pengembangan</w:t>
      </w:r>
      <w:proofErr w:type="spellEnd"/>
      <w:r w:rsidRPr="008A05B7">
        <w:rPr>
          <w:rFonts w:ascii="Times New Roman" w:eastAsia="Times New Roman" w:hAnsi="Times New Roman" w:cs="Times New Roman"/>
          <w:sz w:val="20"/>
          <w:szCs w:val="20"/>
        </w:rPr>
        <w:t xml:space="preserve"> </w:t>
      </w:r>
      <w:r w:rsidRPr="008A05B7">
        <w:rPr>
          <w:rFonts w:ascii="Times New Roman" w:eastAsia="Times New Roman" w:hAnsi="Times New Roman" w:cs="Times New Roman"/>
          <w:i/>
          <w:sz w:val="20"/>
          <w:szCs w:val="20"/>
        </w:rPr>
        <w:t>sandbox</w:t>
      </w:r>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untuk</w:t>
      </w:r>
      <w:proofErr w:type="spellEnd"/>
      <w:r w:rsidRPr="008A05B7">
        <w:rPr>
          <w:rFonts w:ascii="Times New Roman" w:eastAsia="Times New Roman" w:hAnsi="Times New Roman" w:cs="Times New Roman"/>
          <w:sz w:val="20"/>
          <w:szCs w:val="20"/>
        </w:rPr>
        <w:t xml:space="preserve"> </w:t>
      </w:r>
      <w:r w:rsidRPr="008A05B7">
        <w:rPr>
          <w:rFonts w:ascii="Times New Roman" w:eastAsia="Times New Roman" w:hAnsi="Times New Roman" w:cs="Times New Roman"/>
          <w:i/>
          <w:sz w:val="20"/>
          <w:szCs w:val="20"/>
        </w:rPr>
        <w:t>regulated decentralized finance</w:t>
      </w:r>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integrasi</w:t>
      </w:r>
      <w:proofErr w:type="spellEnd"/>
      <w:r w:rsidRPr="008A05B7">
        <w:rPr>
          <w:rFonts w:ascii="Times New Roman" w:eastAsia="Times New Roman" w:hAnsi="Times New Roman" w:cs="Times New Roman"/>
          <w:sz w:val="20"/>
          <w:szCs w:val="20"/>
        </w:rPr>
        <w:t xml:space="preserve"> </w:t>
      </w:r>
      <w:r w:rsidRPr="008A05B7">
        <w:rPr>
          <w:rFonts w:ascii="Times New Roman" w:eastAsia="Times New Roman" w:hAnsi="Times New Roman" w:cs="Times New Roman"/>
          <w:i/>
          <w:sz w:val="20"/>
          <w:szCs w:val="20"/>
        </w:rPr>
        <w:t>oracle</w:t>
      </w:r>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pelaporan</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pajak</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ke</w:t>
      </w:r>
      <w:proofErr w:type="spellEnd"/>
      <w:r w:rsidRPr="008A05B7">
        <w:rPr>
          <w:rFonts w:ascii="Times New Roman" w:eastAsia="Times New Roman" w:hAnsi="Times New Roman" w:cs="Times New Roman"/>
          <w:sz w:val="20"/>
          <w:szCs w:val="20"/>
        </w:rPr>
        <w:t xml:space="preserve"> </w:t>
      </w:r>
      <w:r w:rsidRPr="008A05B7">
        <w:rPr>
          <w:rFonts w:ascii="Times New Roman" w:eastAsia="Times New Roman" w:hAnsi="Times New Roman" w:cs="Times New Roman"/>
          <w:i/>
          <w:sz w:val="20"/>
          <w:szCs w:val="20"/>
        </w:rPr>
        <w:t>smart contract</w:t>
      </w:r>
      <w:r w:rsidRPr="008A05B7">
        <w:rPr>
          <w:rFonts w:ascii="Times New Roman" w:eastAsia="Times New Roman" w:hAnsi="Times New Roman" w:cs="Times New Roman"/>
          <w:sz w:val="20"/>
          <w:szCs w:val="20"/>
        </w:rPr>
        <w:t xml:space="preserve">, dan </w:t>
      </w:r>
      <w:proofErr w:type="spellStart"/>
      <w:r w:rsidRPr="008A05B7">
        <w:rPr>
          <w:rFonts w:ascii="Times New Roman" w:eastAsia="Times New Roman" w:hAnsi="Times New Roman" w:cs="Times New Roman"/>
          <w:sz w:val="20"/>
          <w:szCs w:val="20"/>
        </w:rPr>
        <w:t>penguatan</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kapasitas</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kelembagaan</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Direktorat</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Jenderal</w:t>
      </w:r>
      <w:proofErr w:type="spellEnd"/>
      <w:r w:rsidRPr="008A05B7">
        <w:rPr>
          <w:rFonts w:ascii="Times New Roman" w:eastAsia="Times New Roman" w:hAnsi="Times New Roman" w:cs="Times New Roman"/>
          <w:sz w:val="20"/>
          <w:szCs w:val="20"/>
        </w:rPr>
        <w:t xml:space="preserve"> Pajak </w:t>
      </w:r>
      <w:proofErr w:type="spellStart"/>
      <w:r w:rsidRPr="008A05B7">
        <w:rPr>
          <w:rFonts w:ascii="Times New Roman" w:eastAsia="Times New Roman" w:hAnsi="Times New Roman" w:cs="Times New Roman"/>
          <w:sz w:val="20"/>
          <w:szCs w:val="20"/>
        </w:rPr>
        <w:t>melalui</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pusat</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keunggulan</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perpajakan</w:t>
      </w:r>
      <w:proofErr w:type="spellEnd"/>
      <w:r w:rsidRPr="008A05B7">
        <w:rPr>
          <w:rFonts w:ascii="Times New Roman" w:eastAsia="Times New Roman" w:hAnsi="Times New Roman" w:cs="Times New Roman"/>
          <w:sz w:val="20"/>
          <w:szCs w:val="20"/>
        </w:rPr>
        <w:t xml:space="preserve"> digital.</w:t>
      </w:r>
    </w:p>
    <w:p w14:paraId="39971D3E" w14:textId="69C2A0D8" w:rsidR="008A05B7" w:rsidRPr="008A05B7" w:rsidRDefault="008A05B7">
      <w:pPr>
        <w:spacing w:after="120"/>
        <w:jc w:val="both"/>
        <w:rPr>
          <w:rFonts w:ascii="Times New Roman" w:eastAsia="Times New Roman" w:hAnsi="Times New Roman" w:cs="Times New Roman"/>
          <w:sz w:val="20"/>
          <w:szCs w:val="20"/>
        </w:rPr>
      </w:pPr>
      <w:r w:rsidRPr="00EF7219">
        <w:rPr>
          <w:rFonts w:ascii="Times New Roman" w:eastAsia="Times New Roman" w:hAnsi="Times New Roman" w:cs="Times New Roman"/>
          <w:b/>
          <w:bCs/>
          <w:sz w:val="20"/>
          <w:szCs w:val="20"/>
        </w:rPr>
        <w:t xml:space="preserve">Kata </w:t>
      </w:r>
      <w:proofErr w:type="spellStart"/>
      <w:r w:rsidRPr="00EF7219">
        <w:rPr>
          <w:rFonts w:ascii="Times New Roman" w:eastAsia="Times New Roman" w:hAnsi="Times New Roman" w:cs="Times New Roman"/>
          <w:b/>
          <w:bCs/>
          <w:sz w:val="20"/>
          <w:szCs w:val="20"/>
        </w:rPr>
        <w:t>kunci</w:t>
      </w:r>
      <w:proofErr w:type="spellEnd"/>
      <w:r>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kripto</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perpajakan</w:t>
      </w:r>
      <w:proofErr w:type="spellEnd"/>
      <w:r w:rsidRPr="008A05B7">
        <w:rPr>
          <w:rFonts w:ascii="Times New Roman" w:eastAsia="Times New Roman" w:hAnsi="Times New Roman" w:cs="Times New Roman"/>
          <w:sz w:val="20"/>
          <w:szCs w:val="20"/>
        </w:rPr>
        <w:t xml:space="preserve">, bursa </w:t>
      </w:r>
      <w:proofErr w:type="spellStart"/>
      <w:r w:rsidRPr="008A05B7">
        <w:rPr>
          <w:rFonts w:ascii="Times New Roman" w:eastAsia="Times New Roman" w:hAnsi="Times New Roman" w:cs="Times New Roman"/>
          <w:sz w:val="20"/>
          <w:szCs w:val="20"/>
        </w:rPr>
        <w:t>terdesentralisasi</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analitik</w:t>
      </w:r>
      <w:proofErr w:type="spellEnd"/>
      <w:r w:rsidRPr="008A05B7">
        <w:rPr>
          <w:rFonts w:ascii="Times New Roman" w:eastAsia="Times New Roman" w:hAnsi="Times New Roman" w:cs="Times New Roman"/>
          <w:sz w:val="20"/>
          <w:szCs w:val="20"/>
        </w:rPr>
        <w:t xml:space="preserve">, </w:t>
      </w:r>
      <w:proofErr w:type="spellStart"/>
      <w:r w:rsidRPr="008A05B7">
        <w:rPr>
          <w:rFonts w:ascii="Times New Roman" w:eastAsia="Times New Roman" w:hAnsi="Times New Roman" w:cs="Times New Roman"/>
          <w:sz w:val="20"/>
          <w:szCs w:val="20"/>
        </w:rPr>
        <w:t>pemotongan</w:t>
      </w:r>
      <w:proofErr w:type="spellEnd"/>
      <w:r w:rsidRPr="008A05B7">
        <w:rPr>
          <w:rFonts w:ascii="Times New Roman" w:eastAsia="Times New Roman" w:hAnsi="Times New Roman" w:cs="Times New Roman"/>
          <w:sz w:val="20"/>
          <w:szCs w:val="20"/>
        </w:rPr>
        <w:t xml:space="preserve">, </w:t>
      </w:r>
      <w:r w:rsidRPr="00131E68">
        <w:rPr>
          <w:rFonts w:ascii="Times New Roman" w:eastAsia="Times New Roman" w:hAnsi="Times New Roman" w:cs="Times New Roman"/>
          <w:i/>
          <w:iCs/>
          <w:sz w:val="20"/>
          <w:szCs w:val="20"/>
        </w:rPr>
        <w:t>blockchain</w:t>
      </w:r>
    </w:p>
    <w:p w14:paraId="485BB635" w14:textId="000F54AC" w:rsidR="00BB17A0" w:rsidRPr="008A05B7" w:rsidRDefault="00B820EA" w:rsidP="008A05B7">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INTRODUCTION</w:t>
      </w:r>
    </w:p>
    <w:p w14:paraId="6DFF7D95" w14:textId="77777777" w:rsidR="00B820EA" w:rsidRPr="00B820EA" w:rsidRDefault="00B820EA" w:rsidP="00B820EA">
      <w:pPr>
        <w:spacing w:after="120"/>
        <w:jc w:val="both"/>
        <w:rPr>
          <w:rFonts w:ascii="Times New Roman" w:eastAsia="Times New Roman" w:hAnsi="Times New Roman" w:cs="Times New Roman"/>
          <w:sz w:val="24"/>
          <w:szCs w:val="24"/>
          <w:lang w:val="en-GB"/>
        </w:rPr>
      </w:pPr>
      <w:r w:rsidRPr="00B820EA">
        <w:rPr>
          <w:rFonts w:ascii="Times New Roman" w:eastAsia="Times New Roman" w:hAnsi="Times New Roman" w:cs="Times New Roman"/>
          <w:sz w:val="24"/>
          <w:szCs w:val="24"/>
          <w:lang w:val="en-GB"/>
        </w:rPr>
        <w:t>The rise of crypto assets has become a major challenge for global financial and tax systems over the past decade. Since the emergence of Bitcoin in 2008 by Satoshi Nakamoto (Nakamoto, 2008), crypto has not only represented a technological innovation but has also shaken the conceptual foundations of money, value, and financial authority. The blockchain-based nature of crypto as a distributed ledger without a central authority promises decentralization, transparency, and financial access without intermediaries. Yet behind this innovation lie new issues, especially in compliance, governance, and taxation.</w:t>
      </w:r>
    </w:p>
    <w:p w14:paraId="7D81A92C" w14:textId="6A901897" w:rsidR="00B820EA" w:rsidRPr="00B820EA" w:rsidRDefault="00B820EA" w:rsidP="00B820EA">
      <w:pPr>
        <w:spacing w:after="120"/>
        <w:jc w:val="both"/>
        <w:rPr>
          <w:rFonts w:ascii="Times New Roman" w:eastAsia="Times New Roman" w:hAnsi="Times New Roman" w:cs="Times New Roman"/>
          <w:sz w:val="24"/>
          <w:szCs w:val="24"/>
          <w:lang w:val="en-GB"/>
        </w:rPr>
      </w:pPr>
      <w:r w:rsidRPr="00B820EA">
        <w:rPr>
          <w:rFonts w:ascii="Times New Roman" w:eastAsia="Times New Roman" w:hAnsi="Times New Roman" w:cs="Times New Roman"/>
          <w:sz w:val="24"/>
          <w:szCs w:val="24"/>
          <w:lang w:val="en-GB"/>
        </w:rPr>
        <w:t>Public enthusiasm for crypto assets continues to grow. A report by Indonesia’s Financial Services Authority (OJK) (2025) shows that from January to July 2025, crypto transactions in Indonesia reached IDR 276.45 trillion with 16.5 million users. In July 2025, transaction value reached IDR 52.46 trillion, up 62.36 percent from the previous month. The report also notes that in May 2025</w:t>
      </w:r>
      <w:r w:rsidR="00131E68">
        <w:rPr>
          <w:rFonts w:ascii="Times New Roman" w:eastAsia="Times New Roman" w:hAnsi="Times New Roman" w:cs="Times New Roman"/>
          <w:sz w:val="24"/>
          <w:szCs w:val="24"/>
          <w:lang w:val="en-GB"/>
        </w:rPr>
        <w:t>,</w:t>
      </w:r>
      <w:r w:rsidRPr="00B820EA">
        <w:rPr>
          <w:rFonts w:ascii="Times New Roman" w:eastAsia="Times New Roman" w:hAnsi="Times New Roman" w:cs="Times New Roman"/>
          <w:sz w:val="24"/>
          <w:szCs w:val="24"/>
          <w:lang w:val="en-GB"/>
        </w:rPr>
        <w:t xml:space="preserve"> there were 14.78 million active crypto users, up from 13.71 million in March 2025. These figures underscore that crypto has become a significant digital-economy phenomenon in Indonesia.</w:t>
      </w:r>
    </w:p>
    <w:p w14:paraId="7243FA7D" w14:textId="23150E19" w:rsidR="00B820EA" w:rsidRPr="00B820EA" w:rsidRDefault="00B820EA" w:rsidP="00B820EA">
      <w:pPr>
        <w:spacing w:after="120"/>
        <w:jc w:val="both"/>
        <w:rPr>
          <w:rFonts w:ascii="Times New Roman" w:eastAsia="Times New Roman" w:hAnsi="Times New Roman" w:cs="Times New Roman"/>
          <w:sz w:val="24"/>
          <w:szCs w:val="24"/>
          <w:lang w:val="en-GB"/>
        </w:rPr>
      </w:pPr>
      <w:r w:rsidRPr="00B820EA">
        <w:rPr>
          <w:rFonts w:ascii="Times New Roman" w:eastAsia="Times New Roman" w:hAnsi="Times New Roman" w:cs="Times New Roman"/>
          <w:sz w:val="24"/>
          <w:szCs w:val="24"/>
          <w:lang w:val="en-GB"/>
        </w:rPr>
        <w:t xml:space="preserve">In Indonesia, the government has responded to this phenomenon gradually. Early regulation focused on trading digital assets through licensed exchanges, aiming to protect consumers and maintain </w:t>
      </w:r>
      <w:r w:rsidR="00131E68">
        <w:rPr>
          <w:rFonts w:ascii="Times New Roman" w:eastAsia="Times New Roman" w:hAnsi="Times New Roman" w:cs="Times New Roman"/>
          <w:sz w:val="24"/>
          <w:szCs w:val="24"/>
          <w:lang w:val="en-GB"/>
        </w:rPr>
        <w:t>financial system</w:t>
      </w:r>
      <w:r w:rsidRPr="00B820EA">
        <w:rPr>
          <w:rFonts w:ascii="Times New Roman" w:eastAsia="Times New Roman" w:hAnsi="Times New Roman" w:cs="Times New Roman"/>
          <w:sz w:val="24"/>
          <w:szCs w:val="24"/>
          <w:lang w:val="en-GB"/>
        </w:rPr>
        <w:t xml:space="preserve"> stability. Minister of Finance Regulation Number 68 of 2022 (hereinafter PMK 68/2022) was an early milestone that affirmed crypto assets as taxable objects through the imposition of Value-Added Tax (VAT/PPN) and Final Income Tax (</w:t>
      </w:r>
      <w:proofErr w:type="spellStart"/>
      <w:r w:rsidRPr="00B820EA">
        <w:rPr>
          <w:rFonts w:ascii="Times New Roman" w:eastAsia="Times New Roman" w:hAnsi="Times New Roman" w:cs="Times New Roman"/>
          <w:sz w:val="24"/>
          <w:szCs w:val="24"/>
          <w:lang w:val="en-GB"/>
        </w:rPr>
        <w:t>PPh</w:t>
      </w:r>
      <w:proofErr w:type="spellEnd"/>
      <w:r w:rsidRPr="00B820EA">
        <w:rPr>
          <w:rFonts w:ascii="Times New Roman" w:eastAsia="Times New Roman" w:hAnsi="Times New Roman" w:cs="Times New Roman"/>
          <w:sz w:val="24"/>
          <w:szCs w:val="24"/>
          <w:lang w:val="en-GB"/>
        </w:rPr>
        <w:t xml:space="preserve"> Final). As the crypto industry developed, Decentralized Finance (DeFi) and Decentralized Exchanges (DEX) emerged, requiring a more comprehensive regulatory approach. DeFi is a blockchain-based financial infrastructure consisting of open (permissionless) smart-contract protocols that replicate financial services without centralized intermediaries (</w:t>
      </w:r>
      <w:proofErr w:type="spellStart"/>
      <w:r w:rsidRPr="00B820EA">
        <w:rPr>
          <w:rFonts w:ascii="Times New Roman" w:eastAsia="Times New Roman" w:hAnsi="Times New Roman" w:cs="Times New Roman"/>
          <w:sz w:val="24"/>
          <w:szCs w:val="24"/>
          <w:lang w:val="en-GB"/>
        </w:rPr>
        <w:t>Schär</w:t>
      </w:r>
      <w:proofErr w:type="spellEnd"/>
      <w:r w:rsidRPr="00B820EA">
        <w:rPr>
          <w:rFonts w:ascii="Times New Roman" w:eastAsia="Times New Roman" w:hAnsi="Times New Roman" w:cs="Times New Roman"/>
          <w:sz w:val="24"/>
          <w:szCs w:val="24"/>
          <w:lang w:val="en-GB"/>
        </w:rPr>
        <w:t>, 2021), while a DEX is a non-custodial protocol that facilitates crypto-asset exchange without a centralized intermediary (Xu et al., 2022).</w:t>
      </w:r>
    </w:p>
    <w:p w14:paraId="34ED70D7" w14:textId="55D1A997" w:rsidR="00B820EA" w:rsidRPr="00B820EA" w:rsidRDefault="00B820EA" w:rsidP="00B820EA">
      <w:pPr>
        <w:spacing w:after="120"/>
        <w:jc w:val="both"/>
        <w:rPr>
          <w:rFonts w:ascii="Times New Roman" w:eastAsia="Times New Roman" w:hAnsi="Times New Roman" w:cs="Times New Roman"/>
          <w:sz w:val="24"/>
          <w:szCs w:val="24"/>
          <w:lang w:val="en-GB"/>
        </w:rPr>
      </w:pPr>
      <w:r w:rsidRPr="00B820EA">
        <w:rPr>
          <w:rFonts w:ascii="Times New Roman" w:eastAsia="Times New Roman" w:hAnsi="Times New Roman" w:cs="Times New Roman"/>
          <w:sz w:val="24"/>
          <w:szCs w:val="24"/>
          <w:lang w:val="en-GB"/>
        </w:rPr>
        <w:t xml:space="preserve">Subsequently, on 1 August 2025, Minister of Finance Regulation Number 50 of 2025 (hereinafter PMK 50/2025) was issued to provide legal certainty, administrative simplicity, and integration with the new legal framework following the enactment of Law Number 4 of 2023 on the Development and Strengthening of the Financial Sector (hereinafter the P2SK Law). This rule reinforces crypto’s position as an object of income tax and aligns its status with securities for VAT purposes. The mechanism of a final tax of 0.21 percent on crypto transactions, along with the taxation of trading services, shows the government’s effort to balance </w:t>
      </w:r>
      <w:r w:rsidR="00131E68">
        <w:rPr>
          <w:rFonts w:ascii="Times New Roman" w:eastAsia="Times New Roman" w:hAnsi="Times New Roman" w:cs="Times New Roman"/>
          <w:sz w:val="24"/>
          <w:szCs w:val="24"/>
          <w:lang w:val="en-GB"/>
        </w:rPr>
        <w:t>state revenue</w:t>
      </w:r>
      <w:r w:rsidRPr="00B820EA">
        <w:rPr>
          <w:rFonts w:ascii="Times New Roman" w:eastAsia="Times New Roman" w:hAnsi="Times New Roman" w:cs="Times New Roman"/>
          <w:sz w:val="24"/>
          <w:szCs w:val="24"/>
          <w:lang w:val="en-GB"/>
        </w:rPr>
        <w:t xml:space="preserve"> interests with ease of taxpayer compliance.</w:t>
      </w:r>
    </w:p>
    <w:p w14:paraId="140EC372" w14:textId="77777777" w:rsidR="00B820EA" w:rsidRPr="00B820EA" w:rsidRDefault="00B820EA" w:rsidP="00B820EA">
      <w:pPr>
        <w:spacing w:after="120"/>
        <w:jc w:val="both"/>
        <w:rPr>
          <w:rFonts w:ascii="Times New Roman" w:eastAsia="Times New Roman" w:hAnsi="Times New Roman" w:cs="Times New Roman"/>
          <w:sz w:val="24"/>
          <w:szCs w:val="24"/>
          <w:lang w:val="en-GB"/>
        </w:rPr>
      </w:pPr>
      <w:r w:rsidRPr="00B820EA">
        <w:rPr>
          <w:rFonts w:ascii="Times New Roman" w:eastAsia="Times New Roman" w:hAnsi="Times New Roman" w:cs="Times New Roman"/>
          <w:sz w:val="24"/>
          <w:szCs w:val="24"/>
          <w:lang w:val="en-GB"/>
        </w:rPr>
        <w:t>Nevertheless, PMK 50/2025 still assumes that most crypto transactions occur through licensed Centralized Exchanges (CEX) that can act as tax collectors. In contrast to DEXs, CEXs are custodial platforms that run centralized order books and hold users’ assets while intermediating crypto trades (Makarov &amp; Scholar, 2022). This assumption is becoming less relevant as many users switch to DEXs—open crypto-trading platforms that operate without a central authority. Transactions on DEXs occur peer to peer between digital wallets with the aid of smart contracts on blockchain networks.</w:t>
      </w:r>
    </w:p>
    <w:p w14:paraId="615F510E" w14:textId="373B036F" w:rsidR="00BB17A0" w:rsidRPr="00B820EA" w:rsidRDefault="00BB17A0" w:rsidP="008A05B7">
      <w:pPr>
        <w:spacing w:after="120"/>
        <w:jc w:val="both"/>
        <w:rPr>
          <w:rFonts w:ascii="Times New Roman" w:eastAsia="Times New Roman" w:hAnsi="Times New Roman" w:cs="Times New Roman"/>
          <w:sz w:val="24"/>
          <w:szCs w:val="24"/>
          <w:lang w:val="en-GB"/>
        </w:rPr>
      </w:pPr>
    </w:p>
    <w:p w14:paraId="5755A86E" w14:textId="77777777" w:rsidR="00B820EA" w:rsidRPr="00B820EA" w:rsidRDefault="00B820EA" w:rsidP="00B820EA">
      <w:pPr>
        <w:spacing w:after="120"/>
        <w:jc w:val="both"/>
        <w:rPr>
          <w:rFonts w:ascii="Times New Roman" w:eastAsia="Times New Roman" w:hAnsi="Times New Roman" w:cs="Times New Roman"/>
          <w:sz w:val="24"/>
          <w:szCs w:val="24"/>
          <w:lang w:val="en-GB"/>
        </w:rPr>
      </w:pPr>
      <w:r w:rsidRPr="00B820EA">
        <w:rPr>
          <w:rFonts w:ascii="Times New Roman" w:eastAsia="Times New Roman" w:hAnsi="Times New Roman" w:cs="Times New Roman"/>
          <w:sz w:val="24"/>
          <w:szCs w:val="24"/>
          <w:lang w:val="en-GB"/>
        </w:rPr>
        <w:t>This situation poses major challenges for the tax authority. DEXs that operate across jurisdictions and without a legal entity weaken traditional collection mechanisms such as withholding obligations, reporting, and document-based audits. As a result, tax can be collected only from a small share of crypto transaction volume recorded on CEXs, while transactions on DEXs remain beyond the reach of the fisc. This phenomenon creates a significant potential tax gap and raises issues of tax fairness among market participants.</w:t>
      </w:r>
    </w:p>
    <w:p w14:paraId="0C2B563C" w14:textId="61F4544F" w:rsidR="00B820EA" w:rsidRPr="00B820EA" w:rsidRDefault="00B820EA" w:rsidP="00B820EA">
      <w:pPr>
        <w:spacing w:after="120"/>
        <w:jc w:val="both"/>
        <w:rPr>
          <w:rFonts w:ascii="Times New Roman" w:eastAsia="Times New Roman" w:hAnsi="Times New Roman" w:cs="Times New Roman"/>
          <w:sz w:val="24"/>
          <w:szCs w:val="24"/>
          <w:lang w:val="en-GB"/>
        </w:rPr>
      </w:pPr>
      <w:r w:rsidRPr="00B820EA">
        <w:rPr>
          <w:rFonts w:ascii="Times New Roman" w:eastAsia="Times New Roman" w:hAnsi="Times New Roman" w:cs="Times New Roman"/>
          <w:sz w:val="24"/>
          <w:szCs w:val="24"/>
          <w:lang w:val="en-GB"/>
        </w:rPr>
        <w:t xml:space="preserve">From the perspective of compliance theory, PMK 50/2025 faces structural barriers. Under deterrence theory, compliance depends on the probability of detection and the severity of sanctions. On CEXs, compliance is relatively high because transactions are supervised through Know Your Customer (KYC) systems and are easy to audit. KYC is a risk-based identification and </w:t>
      </w:r>
      <w:r w:rsidR="00131E68">
        <w:rPr>
          <w:rFonts w:ascii="Times New Roman" w:eastAsia="Times New Roman" w:hAnsi="Times New Roman" w:cs="Times New Roman"/>
          <w:sz w:val="24"/>
          <w:szCs w:val="24"/>
          <w:lang w:val="en-GB"/>
        </w:rPr>
        <w:t>due diligence</w:t>
      </w:r>
      <w:r w:rsidRPr="00B820EA">
        <w:rPr>
          <w:rFonts w:ascii="Times New Roman" w:eastAsia="Times New Roman" w:hAnsi="Times New Roman" w:cs="Times New Roman"/>
          <w:sz w:val="24"/>
          <w:szCs w:val="24"/>
          <w:lang w:val="en-GB"/>
        </w:rPr>
        <w:t xml:space="preserve"> process to verify customer identity and assess Anti-Money Laundering (AML) risk throughout the customer relationship lifecycle (Elliott et al., 2022). However, on DEXs, user identities are anonymous, so the probability of detection is very low. As a result, the threat of sanctions loses effectiveness because it is not accompanied by adequate detection capability.</w:t>
      </w:r>
    </w:p>
    <w:p w14:paraId="75980034" w14:textId="77777777" w:rsidR="00B820EA" w:rsidRPr="00B820EA" w:rsidRDefault="00B820EA" w:rsidP="00B820EA">
      <w:pPr>
        <w:spacing w:after="120"/>
        <w:jc w:val="both"/>
        <w:rPr>
          <w:rFonts w:ascii="Times New Roman" w:eastAsia="Times New Roman" w:hAnsi="Times New Roman" w:cs="Times New Roman"/>
          <w:sz w:val="24"/>
          <w:szCs w:val="24"/>
          <w:lang w:val="en-GB"/>
        </w:rPr>
      </w:pPr>
      <w:r w:rsidRPr="00B820EA">
        <w:rPr>
          <w:rFonts w:ascii="Times New Roman" w:eastAsia="Times New Roman" w:hAnsi="Times New Roman" w:cs="Times New Roman"/>
          <w:sz w:val="24"/>
          <w:szCs w:val="24"/>
          <w:lang w:val="en-GB"/>
        </w:rPr>
        <w:t>Viewed through a critical-realist approach, this problem can be explained at three levels of reality: the empirical (transactions visible on CEXs), the actual (the technical mechanisms of DEX transactions via smart contracts), and the real (the decentralised structure that is the root cause of the difficulty in tax collection). PMK 50/2025 reaches only the empirical layer and part of the actual layer, while the fundamental layer remains untouched. This is the root of the policy gap between conventional fiscal regulation and the dynamics of a decentralised crypto market.</w:t>
      </w:r>
    </w:p>
    <w:p w14:paraId="634CC4DF" w14:textId="77777777" w:rsidR="00B820EA" w:rsidRDefault="00B820EA" w:rsidP="00B820EA">
      <w:pPr>
        <w:spacing w:after="120"/>
        <w:jc w:val="both"/>
        <w:rPr>
          <w:rFonts w:ascii="Times New Roman" w:eastAsia="Times New Roman" w:hAnsi="Times New Roman" w:cs="Times New Roman"/>
          <w:sz w:val="24"/>
          <w:szCs w:val="24"/>
          <w:lang w:val="en-GB"/>
        </w:rPr>
      </w:pPr>
      <w:r w:rsidRPr="00B820EA">
        <w:rPr>
          <w:rFonts w:ascii="Times New Roman" w:eastAsia="Times New Roman" w:hAnsi="Times New Roman" w:cs="Times New Roman"/>
          <w:sz w:val="24"/>
          <w:szCs w:val="24"/>
          <w:lang w:val="en-GB"/>
        </w:rPr>
        <w:t>Based on these conditions, this study aims to critically analyse the effectiveness of PMK 50/2025 in reaching crypto-asset trading activity on DEXs. It seeks to answer three main questions: (1) how the normative structure of PMK 50/2025 regulates taxation of crypto transactions; (2) what fundamental constraints arise from a CEX-based approach amid the growth of DEXs; and (3) how compliance theory and critical realism explain the limitations of fiscal regulation in a decentralised ecosystem. The results are expected to provide policy recommendations that are more adaptive, fair, and relevant to developments in digital financial technology.</w:t>
      </w:r>
    </w:p>
    <w:p w14:paraId="0938B96E" w14:textId="77777777" w:rsidR="00B820EA" w:rsidRPr="00B820EA" w:rsidRDefault="00B820EA" w:rsidP="00B820EA">
      <w:pPr>
        <w:spacing w:after="120"/>
        <w:jc w:val="both"/>
        <w:rPr>
          <w:rFonts w:ascii="Times New Roman" w:eastAsia="Times New Roman" w:hAnsi="Times New Roman" w:cs="Times New Roman"/>
          <w:sz w:val="24"/>
          <w:szCs w:val="24"/>
          <w:lang w:val="en-GB"/>
        </w:rPr>
      </w:pPr>
    </w:p>
    <w:p w14:paraId="4E49F804" w14:textId="77777777" w:rsidR="00B820EA" w:rsidRPr="00B820EA" w:rsidRDefault="00B820EA" w:rsidP="00B820EA">
      <w:pPr>
        <w:spacing w:after="120"/>
        <w:jc w:val="both"/>
        <w:rPr>
          <w:rFonts w:ascii="Times New Roman" w:eastAsia="Times New Roman" w:hAnsi="Times New Roman" w:cs="Times New Roman"/>
          <w:b/>
          <w:bCs/>
          <w:sz w:val="24"/>
          <w:szCs w:val="24"/>
          <w:lang w:val="en-GB"/>
        </w:rPr>
      </w:pPr>
      <w:r w:rsidRPr="00B820EA">
        <w:rPr>
          <w:rFonts w:ascii="Times New Roman" w:eastAsia="Times New Roman" w:hAnsi="Times New Roman" w:cs="Times New Roman"/>
          <w:b/>
          <w:bCs/>
          <w:sz w:val="24"/>
          <w:szCs w:val="24"/>
          <w:lang w:val="en-GB"/>
        </w:rPr>
        <w:t>RESEARCH METHODS</w:t>
      </w:r>
    </w:p>
    <w:p w14:paraId="13299421" w14:textId="285E8CBD" w:rsidR="00B820EA" w:rsidRPr="00B820EA" w:rsidRDefault="00B820EA" w:rsidP="00B820EA">
      <w:pPr>
        <w:spacing w:after="120"/>
        <w:jc w:val="both"/>
        <w:rPr>
          <w:rFonts w:ascii="Times New Roman" w:eastAsia="Times New Roman" w:hAnsi="Times New Roman" w:cs="Times New Roman"/>
          <w:sz w:val="24"/>
          <w:szCs w:val="24"/>
          <w:lang w:val="en-GB"/>
        </w:rPr>
      </w:pPr>
      <w:r w:rsidRPr="00B820EA">
        <w:rPr>
          <w:rFonts w:ascii="Times New Roman" w:eastAsia="Times New Roman" w:hAnsi="Times New Roman" w:cs="Times New Roman"/>
          <w:sz w:val="24"/>
          <w:szCs w:val="24"/>
          <w:lang w:val="en-GB"/>
        </w:rPr>
        <w:t>This study uses a qualitative approach with a policy-study design to assess the effectiveness and limitations of PMK 50/2025 in taxing crypto assets. The aim is to understand the regulatory context, identify policy gaps, and assess the impact on compliance and tax revenue.</w:t>
      </w:r>
    </w:p>
    <w:p w14:paraId="3D2465CB" w14:textId="7E4CD78D" w:rsidR="00B820EA" w:rsidRPr="00B820EA" w:rsidRDefault="00B820EA" w:rsidP="00B820EA">
      <w:pPr>
        <w:spacing w:after="120"/>
        <w:jc w:val="both"/>
        <w:rPr>
          <w:rFonts w:ascii="Times New Roman" w:eastAsia="Times New Roman" w:hAnsi="Times New Roman" w:cs="Times New Roman"/>
          <w:sz w:val="24"/>
          <w:szCs w:val="24"/>
          <w:lang w:val="en-GB"/>
        </w:rPr>
      </w:pPr>
      <w:r w:rsidRPr="00B820EA">
        <w:rPr>
          <w:rFonts w:ascii="Times New Roman" w:eastAsia="Times New Roman" w:hAnsi="Times New Roman" w:cs="Times New Roman"/>
          <w:sz w:val="24"/>
          <w:szCs w:val="24"/>
          <w:lang w:val="en-GB"/>
        </w:rPr>
        <w:t xml:space="preserve">Data were collected in two stages. First, a literature and legal-document review of PMK 50/2025, PMK 68/2022, and the Law on the Development and Strengthening of the Financial Sector (the P2SK Law), international guidelines such as the Financial Action Task Force (FATF) and the Organisation for Economic Co-operation and Development/Crypto-Asset Reporting Framework </w:t>
      </w:r>
      <w:r w:rsidRPr="00B820EA">
        <w:rPr>
          <w:rFonts w:ascii="Times New Roman" w:eastAsia="Times New Roman" w:hAnsi="Times New Roman" w:cs="Times New Roman"/>
          <w:sz w:val="24"/>
          <w:szCs w:val="24"/>
          <w:lang w:val="en-GB"/>
        </w:rPr>
        <w:lastRenderedPageBreak/>
        <w:t>(OECD/CARF), as well as academic publications and industry reports on CEXs and DEXs. Second, a critical synthesis to assess normative fit, conceptual divergences, and potential regulatory gaps. Data validity was maintained through source triangulation (journals, regulations, and industry reports) and triangulation of reading methods (doctrinal legal analysis and content analysis).</w:t>
      </w:r>
    </w:p>
    <w:p w14:paraId="36AE12FA" w14:textId="311810D2" w:rsidR="00B820EA" w:rsidRPr="00B820EA" w:rsidRDefault="00B820EA" w:rsidP="00B820EA">
      <w:pPr>
        <w:spacing w:after="120"/>
        <w:jc w:val="both"/>
        <w:rPr>
          <w:rFonts w:ascii="Times New Roman" w:eastAsia="Times New Roman" w:hAnsi="Times New Roman" w:cs="Times New Roman"/>
          <w:sz w:val="24"/>
          <w:szCs w:val="24"/>
          <w:lang w:val="en-GB"/>
        </w:rPr>
      </w:pPr>
      <w:r w:rsidRPr="00B820EA">
        <w:rPr>
          <w:rFonts w:ascii="Times New Roman" w:eastAsia="Times New Roman" w:hAnsi="Times New Roman" w:cs="Times New Roman"/>
          <w:sz w:val="24"/>
          <w:szCs w:val="24"/>
          <w:lang w:val="en-GB"/>
        </w:rPr>
        <w:t xml:space="preserve">The analysis was conducted using thematic analysis that included processes of reduction, categorization, and meaning extraction. Findings were grouped into themes such as administrative compliance, regulatory gaps, fiscal equity, and revenue implications. In addition, </w:t>
      </w:r>
      <w:r w:rsidR="00131E68">
        <w:rPr>
          <w:rFonts w:ascii="Times New Roman" w:eastAsia="Times New Roman" w:hAnsi="Times New Roman" w:cs="Times New Roman"/>
          <w:sz w:val="24"/>
          <w:szCs w:val="24"/>
          <w:lang w:val="en-GB"/>
        </w:rPr>
        <w:t>document-based</w:t>
      </w:r>
      <w:r w:rsidRPr="00B820EA">
        <w:rPr>
          <w:rFonts w:ascii="Times New Roman" w:eastAsia="Times New Roman" w:hAnsi="Times New Roman" w:cs="Times New Roman"/>
          <w:sz w:val="24"/>
          <w:szCs w:val="24"/>
          <w:lang w:val="en-GB"/>
        </w:rPr>
        <w:t xml:space="preserve"> process tracing was used to link the design of provisions—such as the tax object, collection mechanisms, and the designation of tax collectors—to policy consequences for the CEX and DEX ecosystems. The results were interpreted using deterrence theory, critical realism, and </w:t>
      </w:r>
      <w:proofErr w:type="spellStart"/>
      <w:r w:rsidRPr="00B820EA">
        <w:rPr>
          <w:rFonts w:ascii="Times New Roman" w:eastAsia="Times New Roman" w:hAnsi="Times New Roman" w:cs="Times New Roman"/>
          <w:sz w:val="24"/>
          <w:szCs w:val="24"/>
          <w:lang w:val="en-GB"/>
        </w:rPr>
        <w:t>behavioral</w:t>
      </w:r>
      <w:proofErr w:type="spellEnd"/>
      <w:r w:rsidRPr="00B820EA">
        <w:rPr>
          <w:rFonts w:ascii="Times New Roman" w:eastAsia="Times New Roman" w:hAnsi="Times New Roman" w:cs="Times New Roman"/>
          <w:sz w:val="24"/>
          <w:szCs w:val="24"/>
          <w:lang w:val="en-GB"/>
        </w:rPr>
        <w:t xml:space="preserve"> economics to assess the consistency of PMK 50/2025 with principles of compliance and fiscal effectiveness.</w:t>
      </w:r>
    </w:p>
    <w:p w14:paraId="4F1ADFFB" w14:textId="77777777" w:rsidR="00B820EA" w:rsidRDefault="00B820EA" w:rsidP="00B820EA">
      <w:pPr>
        <w:spacing w:after="120"/>
        <w:jc w:val="both"/>
        <w:rPr>
          <w:rFonts w:ascii="Times New Roman" w:eastAsia="Times New Roman" w:hAnsi="Times New Roman" w:cs="Times New Roman"/>
          <w:sz w:val="24"/>
          <w:szCs w:val="24"/>
          <w:lang w:val="en-GB"/>
        </w:rPr>
      </w:pPr>
      <w:r w:rsidRPr="00B820EA">
        <w:rPr>
          <w:rFonts w:ascii="Times New Roman" w:eastAsia="Times New Roman" w:hAnsi="Times New Roman" w:cs="Times New Roman"/>
          <w:sz w:val="24"/>
          <w:szCs w:val="24"/>
          <w:lang w:val="en-GB"/>
        </w:rPr>
        <w:t>These methods are expected to provide a comprehensive picture of the performance of PMK 50/2025 and to serve as a basis for formulating digital tax policies that are more just, adaptive, and aligned with the characteristics of a decentralized financial ecosystem.</w:t>
      </w:r>
    </w:p>
    <w:p w14:paraId="720BFB6E" w14:textId="77777777" w:rsidR="00B820EA" w:rsidRPr="00B820EA" w:rsidRDefault="00B820EA" w:rsidP="00B820EA">
      <w:pPr>
        <w:spacing w:after="120"/>
        <w:jc w:val="both"/>
        <w:rPr>
          <w:rFonts w:ascii="Times New Roman" w:eastAsia="Times New Roman" w:hAnsi="Times New Roman" w:cs="Times New Roman"/>
          <w:sz w:val="24"/>
          <w:szCs w:val="24"/>
          <w:lang w:val="en-GB"/>
        </w:rPr>
      </w:pPr>
    </w:p>
    <w:p w14:paraId="6D881357" w14:textId="77777777" w:rsidR="00B820EA" w:rsidRPr="00B820EA" w:rsidRDefault="00B820EA" w:rsidP="00B820EA">
      <w:pPr>
        <w:spacing w:after="120"/>
        <w:jc w:val="both"/>
        <w:rPr>
          <w:rFonts w:ascii="Times New Roman" w:eastAsia="Times New Roman" w:hAnsi="Times New Roman" w:cs="Times New Roman"/>
          <w:b/>
          <w:bCs/>
          <w:sz w:val="24"/>
          <w:szCs w:val="24"/>
          <w:lang w:val="en-GB"/>
        </w:rPr>
      </w:pPr>
      <w:r w:rsidRPr="00B820EA">
        <w:rPr>
          <w:rFonts w:ascii="Times New Roman" w:eastAsia="Times New Roman" w:hAnsi="Times New Roman" w:cs="Times New Roman"/>
          <w:b/>
          <w:bCs/>
          <w:sz w:val="24"/>
          <w:szCs w:val="24"/>
          <w:lang w:val="en-GB"/>
        </w:rPr>
        <w:t>THEORETICAL FRAMEWORK</w:t>
      </w:r>
    </w:p>
    <w:p w14:paraId="550F6DE2" w14:textId="4FC256C8" w:rsidR="00B820EA" w:rsidRPr="00B820EA" w:rsidRDefault="00B820EA" w:rsidP="00B820EA">
      <w:pPr>
        <w:spacing w:after="120"/>
        <w:jc w:val="both"/>
        <w:rPr>
          <w:rFonts w:ascii="Times New Roman" w:eastAsia="Times New Roman" w:hAnsi="Times New Roman" w:cs="Times New Roman"/>
          <w:sz w:val="24"/>
          <w:szCs w:val="24"/>
          <w:lang w:val="en-GB"/>
        </w:rPr>
      </w:pPr>
      <w:r w:rsidRPr="00B820EA">
        <w:rPr>
          <w:rFonts w:ascii="Times New Roman" w:eastAsia="Times New Roman" w:hAnsi="Times New Roman" w:cs="Times New Roman"/>
          <w:sz w:val="24"/>
          <w:szCs w:val="24"/>
          <w:lang w:val="en-GB"/>
        </w:rPr>
        <w:t xml:space="preserve">The study of crypto-asset tax regulation, especially in the context of DEXs, requires a multidisciplinary theoretical framework that combines economic, legal, technological, and </w:t>
      </w:r>
      <w:proofErr w:type="spellStart"/>
      <w:r w:rsidRPr="00B820EA">
        <w:rPr>
          <w:rFonts w:ascii="Times New Roman" w:eastAsia="Times New Roman" w:hAnsi="Times New Roman" w:cs="Times New Roman"/>
          <w:sz w:val="24"/>
          <w:szCs w:val="24"/>
          <w:lang w:val="en-GB"/>
        </w:rPr>
        <w:t>behavioral</w:t>
      </w:r>
      <w:proofErr w:type="spellEnd"/>
      <w:r w:rsidRPr="00B820EA">
        <w:rPr>
          <w:rFonts w:ascii="Times New Roman" w:eastAsia="Times New Roman" w:hAnsi="Times New Roman" w:cs="Times New Roman"/>
          <w:sz w:val="24"/>
          <w:szCs w:val="24"/>
          <w:lang w:val="en-GB"/>
        </w:rPr>
        <w:t xml:space="preserve"> perspectives. This study employs four main approaches: critical realism, deterrence theory, legal and institutional theory, and </w:t>
      </w:r>
      <w:proofErr w:type="spellStart"/>
      <w:r w:rsidRPr="00B820EA">
        <w:rPr>
          <w:rFonts w:ascii="Times New Roman" w:eastAsia="Times New Roman" w:hAnsi="Times New Roman" w:cs="Times New Roman"/>
          <w:sz w:val="24"/>
          <w:szCs w:val="24"/>
          <w:lang w:val="en-GB"/>
        </w:rPr>
        <w:t>behavioral</w:t>
      </w:r>
      <w:proofErr w:type="spellEnd"/>
      <w:r w:rsidRPr="00B820EA">
        <w:rPr>
          <w:rFonts w:ascii="Times New Roman" w:eastAsia="Times New Roman" w:hAnsi="Times New Roman" w:cs="Times New Roman"/>
          <w:sz w:val="24"/>
          <w:szCs w:val="24"/>
          <w:lang w:val="en-GB"/>
        </w:rPr>
        <w:t xml:space="preserve"> economics.</w:t>
      </w:r>
    </w:p>
    <w:p w14:paraId="4BF75ECD" w14:textId="77777777" w:rsidR="00B820EA" w:rsidRPr="00B820EA" w:rsidRDefault="00B820EA" w:rsidP="00B820EA">
      <w:pPr>
        <w:spacing w:after="120"/>
        <w:jc w:val="both"/>
        <w:rPr>
          <w:rFonts w:ascii="Times New Roman" w:eastAsia="Times New Roman" w:hAnsi="Times New Roman" w:cs="Times New Roman"/>
          <w:sz w:val="24"/>
          <w:szCs w:val="24"/>
          <w:lang w:val="en-GB"/>
        </w:rPr>
      </w:pPr>
      <w:r w:rsidRPr="00B820EA">
        <w:rPr>
          <w:rFonts w:ascii="Times New Roman" w:eastAsia="Times New Roman" w:hAnsi="Times New Roman" w:cs="Times New Roman"/>
          <w:sz w:val="24"/>
          <w:szCs w:val="24"/>
          <w:lang w:val="en-GB"/>
        </w:rPr>
        <w:t>The critical-realist approach (Bhaskar, 2020) emphasizes the importance of understanding the structures and causal mechanisms behind phenomena, not merely their observable symptoms. Reality is divided into three layers: the empirical (observed phenomena such as transactions on CEXs), the actual (causal mechanisms such as smart contracts), and the real (fundamental structures such as decentralization and pseudonymity). PMK 50/2025 reaches only the empirical layer and part of the actual layer through rules on tax collection at exchanges, but has yet to address the fundamental layer that underlies the difficulty of taxing DEX activity.</w:t>
      </w:r>
    </w:p>
    <w:p w14:paraId="6BFCC74C" w14:textId="70F2FF2C" w:rsidR="00B820EA" w:rsidRPr="00B820EA" w:rsidRDefault="00B820EA" w:rsidP="00B820EA">
      <w:pPr>
        <w:spacing w:after="120"/>
        <w:jc w:val="both"/>
        <w:rPr>
          <w:rFonts w:ascii="Times New Roman" w:eastAsia="Times New Roman" w:hAnsi="Times New Roman" w:cs="Times New Roman"/>
          <w:sz w:val="24"/>
          <w:szCs w:val="24"/>
          <w:lang w:val="en-GB"/>
        </w:rPr>
      </w:pPr>
      <w:r w:rsidRPr="00B820EA">
        <w:rPr>
          <w:rFonts w:ascii="Times New Roman" w:eastAsia="Times New Roman" w:hAnsi="Times New Roman" w:cs="Times New Roman"/>
          <w:sz w:val="24"/>
          <w:szCs w:val="24"/>
          <w:lang w:val="en-GB"/>
        </w:rPr>
        <w:t>Deterrence theory (Becker, 1968; Scholz, 1997) explains that tax compliance is influenced by the probability of detection and the severity of sanctions. On CEXs, compliance is relatively high because transactions are supervised</w:t>
      </w:r>
      <w:r w:rsidR="00131E68">
        <w:rPr>
          <w:rFonts w:ascii="Times New Roman" w:eastAsia="Times New Roman" w:hAnsi="Times New Roman" w:cs="Times New Roman"/>
          <w:sz w:val="24"/>
          <w:szCs w:val="24"/>
          <w:lang w:val="en-GB"/>
        </w:rPr>
        <w:t>,</w:t>
      </w:r>
      <w:r w:rsidRPr="00B820EA">
        <w:rPr>
          <w:rFonts w:ascii="Times New Roman" w:eastAsia="Times New Roman" w:hAnsi="Times New Roman" w:cs="Times New Roman"/>
          <w:sz w:val="24"/>
          <w:szCs w:val="24"/>
          <w:lang w:val="en-GB"/>
        </w:rPr>
        <w:t xml:space="preserve"> and users must undergo KYC. In contrast, on DEXs, user identities are anonymous and </w:t>
      </w:r>
      <w:r w:rsidR="00131E68">
        <w:rPr>
          <w:rFonts w:ascii="Times New Roman" w:eastAsia="Times New Roman" w:hAnsi="Times New Roman" w:cs="Times New Roman"/>
          <w:sz w:val="24"/>
          <w:szCs w:val="24"/>
          <w:lang w:val="en-GB"/>
        </w:rPr>
        <w:t>cross-jurisdictional</w:t>
      </w:r>
      <w:r w:rsidRPr="00B820EA">
        <w:rPr>
          <w:rFonts w:ascii="Times New Roman" w:eastAsia="Times New Roman" w:hAnsi="Times New Roman" w:cs="Times New Roman"/>
          <w:sz w:val="24"/>
          <w:szCs w:val="24"/>
          <w:lang w:val="en-GB"/>
        </w:rPr>
        <w:t>, so the probability of detection is nearly zero. As a result, the threat of sanctions is ineffective, creating moral hazard and widening the tax gap.</w:t>
      </w:r>
    </w:p>
    <w:p w14:paraId="5B768CDE" w14:textId="77777777" w:rsidR="00B820EA" w:rsidRPr="00B820EA" w:rsidRDefault="00B820EA" w:rsidP="00B820EA">
      <w:pPr>
        <w:spacing w:after="120"/>
        <w:jc w:val="both"/>
        <w:rPr>
          <w:rFonts w:ascii="Times New Roman" w:eastAsia="Times New Roman" w:hAnsi="Times New Roman" w:cs="Times New Roman"/>
          <w:sz w:val="24"/>
          <w:szCs w:val="24"/>
          <w:lang w:val="en-GB"/>
        </w:rPr>
      </w:pPr>
      <w:r w:rsidRPr="00B820EA">
        <w:rPr>
          <w:rFonts w:ascii="Times New Roman" w:eastAsia="Times New Roman" w:hAnsi="Times New Roman" w:cs="Times New Roman"/>
          <w:sz w:val="24"/>
          <w:szCs w:val="24"/>
          <w:lang w:val="en-GB"/>
        </w:rPr>
        <w:t xml:space="preserve">From a legal standpoint, the concept of legal pluralism (Tamanaha, 2017) shows overlap among state law, international guidelines such as FATF and OECD, and technological “law” in the form of rules embedded in smart contracts. In this situation, there is a risk of regulatory capture (Cortese, </w:t>
      </w:r>
      <w:r w:rsidRPr="00B820EA">
        <w:rPr>
          <w:rFonts w:ascii="Times New Roman" w:eastAsia="Times New Roman" w:hAnsi="Times New Roman" w:cs="Times New Roman"/>
          <w:sz w:val="24"/>
          <w:szCs w:val="24"/>
          <w:lang w:val="en-GB"/>
        </w:rPr>
        <w:lastRenderedPageBreak/>
        <w:t>2011), in which the regulator loses independence due to industry influence. PMK 50/2025 thus becomes a compromise that prioritizes administrative simplicity over closing compliance gaps.</w:t>
      </w:r>
    </w:p>
    <w:p w14:paraId="75A7FBD8" w14:textId="64F62CC3" w:rsidR="00BB17A0" w:rsidRPr="00B820EA" w:rsidRDefault="00B820EA" w:rsidP="008A05B7">
      <w:pPr>
        <w:spacing w:after="120"/>
        <w:jc w:val="both"/>
        <w:rPr>
          <w:rFonts w:ascii="Times New Roman" w:eastAsia="Times New Roman" w:hAnsi="Times New Roman" w:cs="Times New Roman"/>
          <w:sz w:val="24"/>
          <w:szCs w:val="24"/>
          <w:lang w:val="en-GB"/>
        </w:rPr>
      </w:pPr>
      <w:r w:rsidRPr="00B820EA">
        <w:rPr>
          <w:rFonts w:ascii="Times New Roman" w:eastAsia="Times New Roman" w:hAnsi="Times New Roman" w:cs="Times New Roman"/>
          <w:sz w:val="24"/>
          <w:szCs w:val="24"/>
          <w:lang w:val="en-GB"/>
        </w:rPr>
        <w:t xml:space="preserve">From a </w:t>
      </w:r>
      <w:proofErr w:type="spellStart"/>
      <w:r w:rsidRPr="00B820EA">
        <w:rPr>
          <w:rFonts w:ascii="Times New Roman" w:eastAsia="Times New Roman" w:hAnsi="Times New Roman" w:cs="Times New Roman"/>
          <w:sz w:val="24"/>
          <w:szCs w:val="24"/>
          <w:lang w:val="en-GB"/>
        </w:rPr>
        <w:t>behavioral</w:t>
      </w:r>
      <w:proofErr w:type="spellEnd"/>
      <w:r w:rsidRPr="00B820EA">
        <w:rPr>
          <w:rFonts w:ascii="Times New Roman" w:eastAsia="Times New Roman" w:hAnsi="Times New Roman" w:cs="Times New Roman"/>
          <w:sz w:val="24"/>
          <w:szCs w:val="24"/>
          <w:lang w:val="en-GB"/>
        </w:rPr>
        <w:t xml:space="preserve"> perspective (</w:t>
      </w:r>
      <w:proofErr w:type="spellStart"/>
      <w:r w:rsidRPr="00B820EA">
        <w:rPr>
          <w:rFonts w:ascii="Times New Roman" w:eastAsia="Times New Roman" w:hAnsi="Times New Roman" w:cs="Times New Roman"/>
          <w:sz w:val="24"/>
          <w:szCs w:val="24"/>
          <w:lang w:val="en-GB"/>
        </w:rPr>
        <w:t>behavioral</w:t>
      </w:r>
      <w:proofErr w:type="spellEnd"/>
      <w:r w:rsidRPr="00B820EA">
        <w:rPr>
          <w:rFonts w:ascii="Times New Roman" w:eastAsia="Times New Roman" w:hAnsi="Times New Roman" w:cs="Times New Roman"/>
          <w:sz w:val="24"/>
          <w:szCs w:val="24"/>
          <w:lang w:val="en-GB"/>
        </w:rPr>
        <w:t xml:space="preserve"> economics), particularly prospect theory (Kahneman &amp; Tversky, 2013), individuals are more sensitive to losses than to equivalent gains. In the context of crypto taxation, the 0.21 percent final income tax withholding is perceived as a more salient loss than the notional risk of sanctions. This makes DEXs more attractive because they give the impression of full investment proceeds without tax withholding. Thus, a low tax rate is not sufficient to encourage compliance without effective detection systems and a clear perception of risk.</w:t>
      </w:r>
    </w:p>
    <w:p w14:paraId="487592B1" w14:textId="77777777" w:rsidR="00BB17A0" w:rsidRPr="00B820EA" w:rsidRDefault="00BB17A0" w:rsidP="008A05B7">
      <w:pPr>
        <w:spacing w:after="120"/>
        <w:jc w:val="both"/>
        <w:rPr>
          <w:rFonts w:ascii="Times New Roman" w:eastAsia="Times New Roman" w:hAnsi="Times New Roman" w:cs="Times New Roman"/>
          <w:b/>
          <w:sz w:val="24"/>
          <w:szCs w:val="24"/>
          <w:lang w:val="en-GB"/>
        </w:rPr>
      </w:pPr>
    </w:p>
    <w:p w14:paraId="4E9651E7" w14:textId="77777777" w:rsidR="00B820EA" w:rsidRPr="00B820EA" w:rsidRDefault="00B820EA" w:rsidP="00B820EA">
      <w:pPr>
        <w:spacing w:after="120"/>
        <w:jc w:val="both"/>
        <w:rPr>
          <w:rFonts w:ascii="Times New Roman" w:eastAsia="Times New Roman" w:hAnsi="Times New Roman" w:cs="Times New Roman"/>
          <w:b/>
          <w:sz w:val="24"/>
          <w:szCs w:val="24"/>
          <w:lang w:val="en-GB"/>
        </w:rPr>
      </w:pPr>
      <w:r w:rsidRPr="00B820EA">
        <w:rPr>
          <w:rFonts w:ascii="Times New Roman" w:eastAsia="Times New Roman" w:hAnsi="Times New Roman" w:cs="Times New Roman"/>
          <w:b/>
          <w:sz w:val="24"/>
          <w:szCs w:val="24"/>
          <w:lang w:val="en-GB"/>
        </w:rPr>
        <w:t>HISTORICAL CONTEXT AND THE POSITION OF TAX REGULATION</w:t>
      </w:r>
    </w:p>
    <w:p w14:paraId="77D0E355" w14:textId="77777777" w:rsidR="00B820EA" w:rsidRPr="00B820EA" w:rsidRDefault="00B820EA" w:rsidP="00B820EA">
      <w:pPr>
        <w:spacing w:after="120"/>
        <w:jc w:val="both"/>
        <w:rPr>
          <w:rFonts w:ascii="Times New Roman" w:eastAsia="Times New Roman" w:hAnsi="Times New Roman" w:cs="Times New Roman"/>
          <w:bCs/>
          <w:sz w:val="24"/>
          <w:szCs w:val="24"/>
          <w:lang w:val="en-GB"/>
        </w:rPr>
      </w:pPr>
      <w:r w:rsidRPr="00B820EA">
        <w:rPr>
          <w:rFonts w:ascii="Times New Roman" w:eastAsia="Times New Roman" w:hAnsi="Times New Roman" w:cs="Times New Roman"/>
          <w:bCs/>
          <w:sz w:val="24"/>
          <w:szCs w:val="24"/>
          <w:lang w:val="en-GB"/>
        </w:rPr>
        <w:t>PMK 50/2025 emerged as a refinement of PMK 68/2022, the first regulation on the collection of Value-Added Tax (VAT/PPN) and Income Tax (</w:t>
      </w:r>
      <w:proofErr w:type="spellStart"/>
      <w:r w:rsidRPr="00B820EA">
        <w:rPr>
          <w:rFonts w:ascii="Times New Roman" w:eastAsia="Times New Roman" w:hAnsi="Times New Roman" w:cs="Times New Roman"/>
          <w:bCs/>
          <w:sz w:val="24"/>
          <w:szCs w:val="24"/>
          <w:lang w:val="en-GB"/>
        </w:rPr>
        <w:t>PPh</w:t>
      </w:r>
      <w:proofErr w:type="spellEnd"/>
      <w:r w:rsidRPr="00B820EA">
        <w:rPr>
          <w:rFonts w:ascii="Times New Roman" w:eastAsia="Times New Roman" w:hAnsi="Times New Roman" w:cs="Times New Roman"/>
          <w:bCs/>
          <w:sz w:val="24"/>
          <w:szCs w:val="24"/>
          <w:lang w:val="en-GB"/>
        </w:rPr>
        <w:t>) on crypto-asset transactions in Indonesia. PMK 68/2022 was a landmark in taxing digital assets but was criticized for conceptual ambiguity, a layered tariff structure that complicated administration, and a lack of alignment with the P2SK Law. The P2SK Law underscores the importance of integrating oversight of digital assets under the national financial authority.</w:t>
      </w:r>
    </w:p>
    <w:p w14:paraId="23AE1A9C" w14:textId="307C8992" w:rsidR="00B820EA" w:rsidRPr="00B820EA" w:rsidRDefault="00B820EA" w:rsidP="00B820EA">
      <w:pPr>
        <w:spacing w:after="120"/>
        <w:jc w:val="both"/>
        <w:rPr>
          <w:rFonts w:ascii="Times New Roman" w:eastAsia="Times New Roman" w:hAnsi="Times New Roman" w:cs="Times New Roman"/>
          <w:bCs/>
          <w:sz w:val="24"/>
          <w:szCs w:val="24"/>
          <w:lang w:val="en-GB"/>
        </w:rPr>
      </w:pPr>
      <w:r w:rsidRPr="00B820EA">
        <w:rPr>
          <w:rFonts w:ascii="Times New Roman" w:eastAsia="Times New Roman" w:hAnsi="Times New Roman" w:cs="Times New Roman"/>
          <w:bCs/>
          <w:sz w:val="24"/>
          <w:szCs w:val="24"/>
          <w:lang w:val="en-GB"/>
        </w:rPr>
        <w:t>PMK 50/2025 was introduced to strengthen legal certainty and simplify tax administration. It sets a single rate of Final Income Tax under Article 22 at 0.21 percent, treats crypto assets on par with securities for VAT purposes, and affirms that only providers licensed under the OJK may be appointed as tax collectors. Administratively, this approach creates clarity and simplicity,</w:t>
      </w:r>
      <w:r w:rsidR="00131E68">
        <w:rPr>
          <w:rFonts w:ascii="Times New Roman" w:eastAsia="Times New Roman" w:hAnsi="Times New Roman" w:cs="Times New Roman"/>
          <w:bCs/>
          <w:sz w:val="24"/>
          <w:szCs w:val="24"/>
          <w:lang w:val="en-GB"/>
        </w:rPr>
        <w:t xml:space="preserve"> </w:t>
      </w:r>
      <w:r w:rsidRPr="00B820EA">
        <w:rPr>
          <w:rFonts w:ascii="Times New Roman" w:eastAsia="Times New Roman" w:hAnsi="Times New Roman" w:cs="Times New Roman"/>
          <w:bCs/>
          <w:sz w:val="24"/>
          <w:szCs w:val="24"/>
          <w:lang w:val="en-GB"/>
        </w:rPr>
        <w:t>but substantively it remains rooted in the centralized exchange (CEX) paradigm, even as global trends show a shift toward decentralized exchanges (DEX) that operate without a central authority or traditional administrative mechanisms.</w:t>
      </w:r>
    </w:p>
    <w:p w14:paraId="693F8758" w14:textId="77777777" w:rsidR="00B820EA" w:rsidRPr="00B820EA" w:rsidRDefault="00B820EA" w:rsidP="00B820EA">
      <w:pPr>
        <w:spacing w:after="120"/>
        <w:jc w:val="both"/>
        <w:rPr>
          <w:rFonts w:ascii="Times New Roman" w:eastAsia="Times New Roman" w:hAnsi="Times New Roman" w:cs="Times New Roman"/>
          <w:bCs/>
          <w:sz w:val="24"/>
          <w:szCs w:val="24"/>
          <w:lang w:val="en-GB"/>
        </w:rPr>
      </w:pPr>
      <w:r w:rsidRPr="00B820EA">
        <w:rPr>
          <w:rFonts w:ascii="Times New Roman" w:eastAsia="Times New Roman" w:hAnsi="Times New Roman" w:cs="Times New Roman"/>
          <w:bCs/>
          <w:sz w:val="24"/>
          <w:szCs w:val="24"/>
          <w:lang w:val="en-GB"/>
        </w:rPr>
        <w:t>On the VAT side, PMK 50/2025 removes tax on the value of the crypto asset itself and imposes VAT only on supporting services such as platform provision, digital wallets (e-wallets), and mining activities. This approach mirrors international practice that places crypto alongside financial instruments like shares and bonds to prevent double taxation. The policy is effective in a CEX system that has legal entities, recordkeeping, and tax invoices, but it loses effectiveness when applied to DEXs. In DEXs, transactions such as swaps, staking, or liquidity provision occur between digital wallets without a service provider or legal entity that can be designated as a VAT-Registered Person (PKP). As a result, PMK 50/2025 operates only at the administrative layer, not at the technological layer where transactions actually occur.</w:t>
      </w:r>
    </w:p>
    <w:p w14:paraId="45382F68" w14:textId="77777777" w:rsidR="00B820EA" w:rsidRDefault="00B820EA" w:rsidP="00B820EA">
      <w:pPr>
        <w:spacing w:after="120"/>
        <w:jc w:val="both"/>
        <w:rPr>
          <w:rFonts w:ascii="Times New Roman" w:eastAsia="Times New Roman" w:hAnsi="Times New Roman" w:cs="Times New Roman"/>
          <w:bCs/>
          <w:sz w:val="24"/>
          <w:szCs w:val="24"/>
          <w:lang w:val="en-GB"/>
        </w:rPr>
      </w:pPr>
      <w:r w:rsidRPr="00B820EA">
        <w:rPr>
          <w:rFonts w:ascii="Times New Roman" w:eastAsia="Times New Roman" w:hAnsi="Times New Roman" w:cs="Times New Roman"/>
          <w:bCs/>
          <w:sz w:val="24"/>
          <w:szCs w:val="24"/>
          <w:lang w:val="en-GB"/>
        </w:rPr>
        <w:t xml:space="preserve">On the income tax side, the collection design is final and based on upfront withholding by exchanges, mirroring the taxation mechanism for share transactions in the capital market. This scheme provides revenue certainty and administrative efficiency because collection responsibility is shifted to intermediaries. However, its effectiveness is very limited. Only transactions through </w:t>
      </w:r>
      <w:r w:rsidRPr="00B820EA">
        <w:rPr>
          <w:rFonts w:ascii="Times New Roman" w:eastAsia="Times New Roman" w:hAnsi="Times New Roman" w:cs="Times New Roman"/>
          <w:bCs/>
          <w:sz w:val="24"/>
          <w:szCs w:val="24"/>
          <w:lang w:val="en-GB"/>
        </w:rPr>
        <w:lastRenderedPageBreak/>
        <w:t>licensed exchanges are covered, while a large share of crypto transactions occur outside the system, either over-the-counter (OTC) or through DeFi protocols.</w:t>
      </w:r>
    </w:p>
    <w:p w14:paraId="14ADCA74" w14:textId="77777777" w:rsidR="00B820EA" w:rsidRPr="00B820EA" w:rsidRDefault="00B820EA" w:rsidP="00B820EA">
      <w:pPr>
        <w:spacing w:after="120"/>
        <w:jc w:val="both"/>
        <w:rPr>
          <w:rFonts w:ascii="Times New Roman" w:eastAsia="Times New Roman" w:hAnsi="Times New Roman" w:cs="Times New Roman"/>
          <w:bCs/>
          <w:sz w:val="24"/>
          <w:szCs w:val="24"/>
          <w:lang w:val="en-GB"/>
        </w:rPr>
      </w:pPr>
    </w:p>
    <w:p w14:paraId="40EC8F06" w14:textId="77777777" w:rsidR="00B820EA" w:rsidRPr="00B820EA" w:rsidRDefault="00B820EA" w:rsidP="00B820EA">
      <w:pPr>
        <w:spacing w:after="120"/>
        <w:jc w:val="both"/>
        <w:rPr>
          <w:rFonts w:ascii="Times New Roman" w:eastAsia="Times New Roman" w:hAnsi="Times New Roman" w:cs="Times New Roman"/>
          <w:b/>
          <w:sz w:val="24"/>
          <w:szCs w:val="24"/>
          <w:lang w:val="en-GB"/>
        </w:rPr>
      </w:pPr>
      <w:r w:rsidRPr="00B820EA">
        <w:rPr>
          <w:rFonts w:ascii="Times New Roman" w:eastAsia="Times New Roman" w:hAnsi="Times New Roman" w:cs="Times New Roman"/>
          <w:b/>
          <w:sz w:val="24"/>
          <w:szCs w:val="24"/>
          <w:lang w:val="en-GB"/>
        </w:rPr>
        <w:t>RESULTS AND DISCUSSION</w:t>
      </w:r>
    </w:p>
    <w:p w14:paraId="177F8CF7" w14:textId="012343CC" w:rsidR="00B820EA" w:rsidRPr="00B820EA" w:rsidRDefault="00B820EA" w:rsidP="00B820EA">
      <w:pPr>
        <w:spacing w:after="120"/>
        <w:jc w:val="both"/>
        <w:rPr>
          <w:rFonts w:ascii="Times New Roman" w:eastAsia="Times New Roman" w:hAnsi="Times New Roman" w:cs="Times New Roman"/>
          <w:b/>
          <w:sz w:val="24"/>
          <w:szCs w:val="24"/>
          <w:lang w:val="en-GB"/>
        </w:rPr>
      </w:pPr>
      <w:r w:rsidRPr="00B820EA">
        <w:rPr>
          <w:rFonts w:ascii="Times New Roman" w:eastAsia="Times New Roman" w:hAnsi="Times New Roman" w:cs="Times New Roman"/>
          <w:b/>
          <w:sz w:val="24"/>
          <w:szCs w:val="24"/>
          <w:lang w:val="en-GB"/>
        </w:rPr>
        <w:t>Analytical Discussion: Between CEX and DEX</w:t>
      </w:r>
    </w:p>
    <w:p w14:paraId="134F8D97" w14:textId="77777777" w:rsidR="00B820EA" w:rsidRPr="00B820EA" w:rsidRDefault="00B820EA" w:rsidP="00B820EA">
      <w:pPr>
        <w:spacing w:after="120"/>
        <w:jc w:val="both"/>
        <w:rPr>
          <w:rFonts w:ascii="Times New Roman" w:eastAsia="Times New Roman" w:hAnsi="Times New Roman" w:cs="Times New Roman"/>
          <w:bCs/>
          <w:sz w:val="24"/>
          <w:szCs w:val="24"/>
          <w:lang w:val="en-GB"/>
        </w:rPr>
      </w:pPr>
      <w:r w:rsidRPr="00B820EA">
        <w:rPr>
          <w:rFonts w:ascii="Times New Roman" w:eastAsia="Times New Roman" w:hAnsi="Times New Roman" w:cs="Times New Roman"/>
          <w:bCs/>
          <w:sz w:val="24"/>
          <w:szCs w:val="24"/>
          <w:lang w:val="en-GB"/>
        </w:rPr>
        <w:t>PMK 50/2025 is built on the assumption that exchanges are the main actors in crypto trading. Exchanges are positioned as fiscal gatekeepers tasked with withholding, remitting, and reporting taxes. Within this framework, Indonesia’s regulation rests on the CEX paradigm.</w:t>
      </w:r>
    </w:p>
    <w:p w14:paraId="6DF7939F" w14:textId="77777777" w:rsidR="00B820EA" w:rsidRPr="00B820EA" w:rsidRDefault="00B820EA" w:rsidP="00B820EA">
      <w:pPr>
        <w:spacing w:after="120"/>
        <w:jc w:val="both"/>
        <w:rPr>
          <w:rFonts w:ascii="Times New Roman" w:eastAsia="Times New Roman" w:hAnsi="Times New Roman" w:cs="Times New Roman"/>
          <w:bCs/>
          <w:sz w:val="24"/>
          <w:szCs w:val="24"/>
          <w:lang w:val="en-GB"/>
        </w:rPr>
      </w:pPr>
      <w:r w:rsidRPr="00B820EA">
        <w:rPr>
          <w:rFonts w:ascii="Times New Roman" w:eastAsia="Times New Roman" w:hAnsi="Times New Roman" w:cs="Times New Roman"/>
          <w:bCs/>
          <w:sz w:val="24"/>
          <w:szCs w:val="24"/>
          <w:lang w:val="en-GB"/>
        </w:rPr>
        <w:t xml:space="preserve">In reality, industry dynamics show a major shift. DEXs are no longer a fringe phenomenon; they have taken a significant share of global crypto trading. The </w:t>
      </w:r>
      <w:proofErr w:type="spellStart"/>
      <w:r w:rsidRPr="00B820EA">
        <w:rPr>
          <w:rFonts w:ascii="Times New Roman" w:eastAsia="Times New Roman" w:hAnsi="Times New Roman" w:cs="Times New Roman"/>
          <w:bCs/>
          <w:sz w:val="24"/>
          <w:szCs w:val="24"/>
          <w:lang w:val="en-GB"/>
        </w:rPr>
        <w:t>Chainalysis</w:t>
      </w:r>
      <w:proofErr w:type="spellEnd"/>
      <w:r w:rsidRPr="00B820EA">
        <w:rPr>
          <w:rFonts w:ascii="Times New Roman" w:eastAsia="Times New Roman" w:hAnsi="Times New Roman" w:cs="Times New Roman"/>
          <w:bCs/>
          <w:sz w:val="24"/>
          <w:szCs w:val="24"/>
          <w:lang w:val="en-GB"/>
        </w:rPr>
        <w:t xml:space="preserve"> (2024) report notes that in the second half of 2023, transactions through DEXs reached almost 55 percent of total global crypto trading volume, a sharp rise from just 25 percent in 2020.</w:t>
      </w:r>
    </w:p>
    <w:p w14:paraId="4DE73CB0" w14:textId="77777777" w:rsidR="00B820EA" w:rsidRPr="00B820EA" w:rsidRDefault="00B820EA" w:rsidP="00B820EA">
      <w:pPr>
        <w:spacing w:after="120"/>
        <w:jc w:val="both"/>
        <w:rPr>
          <w:rFonts w:ascii="Times New Roman" w:eastAsia="Times New Roman" w:hAnsi="Times New Roman" w:cs="Times New Roman"/>
          <w:bCs/>
          <w:sz w:val="24"/>
          <w:szCs w:val="24"/>
          <w:lang w:val="en-GB"/>
        </w:rPr>
      </w:pPr>
      <w:r w:rsidRPr="00B820EA">
        <w:rPr>
          <w:rFonts w:ascii="Times New Roman" w:eastAsia="Times New Roman" w:hAnsi="Times New Roman" w:cs="Times New Roman"/>
          <w:bCs/>
          <w:sz w:val="24"/>
          <w:szCs w:val="24"/>
          <w:lang w:val="en-GB"/>
        </w:rPr>
        <w:t>The comparison between CEXs and DEXs is therefore not merely about technical differences between platforms; it also concerns choices in fiscal policy. The key question is whether the state will continue to rely on CEXs as the basis for collection, or whether it needs to develop new strategies capable of reaching the reality of trading on DEXs.</w:t>
      </w:r>
    </w:p>
    <w:p w14:paraId="4A26E0C6" w14:textId="12046B55" w:rsidR="00BB17A0" w:rsidRPr="00B820EA" w:rsidRDefault="00BB17A0" w:rsidP="008A05B7">
      <w:pPr>
        <w:spacing w:after="120"/>
        <w:jc w:val="both"/>
        <w:rPr>
          <w:rFonts w:ascii="Times New Roman" w:eastAsia="Times New Roman" w:hAnsi="Times New Roman" w:cs="Times New Roman"/>
          <w:sz w:val="24"/>
          <w:szCs w:val="24"/>
          <w:lang w:val="en-GB"/>
        </w:rPr>
      </w:pPr>
    </w:p>
    <w:p w14:paraId="55493EDA" w14:textId="048D830D" w:rsidR="00BB17A0" w:rsidRPr="008A05B7" w:rsidRDefault="002C4451" w:rsidP="008A05B7">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w:t>
      </w:r>
      <w:r w:rsidR="000556AB" w:rsidRPr="008A05B7">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Structural Comparison</w:t>
      </w:r>
      <w:r w:rsidR="000556AB" w:rsidRPr="008A05B7">
        <w:rPr>
          <w:rFonts w:ascii="Times New Roman" w:eastAsia="Times New Roman" w:hAnsi="Times New Roman" w:cs="Times New Roman"/>
          <w:sz w:val="24"/>
          <w:szCs w:val="24"/>
        </w:rPr>
        <w:t>: CEX vs DEX</w:t>
      </w:r>
    </w:p>
    <w:tbl>
      <w:tblPr>
        <w:tblStyle w:val="a"/>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835"/>
        <w:gridCol w:w="3090"/>
        <w:gridCol w:w="2970"/>
      </w:tblGrid>
      <w:tr w:rsidR="00BB17A0" w:rsidRPr="008A05B7" w14:paraId="2EC32721" w14:textId="77777777">
        <w:trPr>
          <w:trHeight w:val="435"/>
        </w:trPr>
        <w:tc>
          <w:tcPr>
            <w:tcW w:w="283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5FD1B84" w14:textId="569918BC" w:rsidR="00BB17A0" w:rsidRPr="008A05B7" w:rsidRDefault="000556AB" w:rsidP="008A05B7">
            <w:pPr>
              <w:spacing w:after="120"/>
              <w:jc w:val="center"/>
              <w:rPr>
                <w:rFonts w:ascii="Times New Roman" w:eastAsia="Times New Roman" w:hAnsi="Times New Roman" w:cs="Times New Roman"/>
                <w:b/>
                <w:sz w:val="24"/>
                <w:szCs w:val="24"/>
              </w:rPr>
            </w:pPr>
            <w:r w:rsidRPr="008A05B7">
              <w:rPr>
                <w:rFonts w:ascii="Times New Roman" w:eastAsia="Times New Roman" w:hAnsi="Times New Roman" w:cs="Times New Roman"/>
                <w:b/>
                <w:sz w:val="24"/>
                <w:szCs w:val="24"/>
              </w:rPr>
              <w:t>Aspe</w:t>
            </w:r>
            <w:r w:rsidR="00B820EA">
              <w:rPr>
                <w:rFonts w:ascii="Times New Roman" w:eastAsia="Times New Roman" w:hAnsi="Times New Roman" w:cs="Times New Roman"/>
                <w:b/>
                <w:sz w:val="24"/>
                <w:szCs w:val="24"/>
              </w:rPr>
              <w:t>ct</w:t>
            </w:r>
          </w:p>
        </w:tc>
        <w:tc>
          <w:tcPr>
            <w:tcW w:w="309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A158D7E" w14:textId="77777777" w:rsidR="00BB17A0" w:rsidRPr="008A05B7" w:rsidRDefault="000556AB" w:rsidP="008A05B7">
            <w:pPr>
              <w:spacing w:after="120"/>
              <w:jc w:val="center"/>
              <w:rPr>
                <w:rFonts w:ascii="Times New Roman" w:eastAsia="Times New Roman" w:hAnsi="Times New Roman" w:cs="Times New Roman"/>
                <w:b/>
                <w:sz w:val="24"/>
                <w:szCs w:val="24"/>
              </w:rPr>
            </w:pPr>
            <w:r w:rsidRPr="008A05B7">
              <w:rPr>
                <w:rFonts w:ascii="Times New Roman" w:eastAsia="Times New Roman" w:hAnsi="Times New Roman" w:cs="Times New Roman"/>
                <w:b/>
                <w:sz w:val="24"/>
                <w:szCs w:val="24"/>
              </w:rPr>
              <w:t>CEX</w:t>
            </w:r>
          </w:p>
        </w:tc>
        <w:tc>
          <w:tcPr>
            <w:tcW w:w="297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7E1DC08" w14:textId="77777777" w:rsidR="00BB17A0" w:rsidRPr="008A05B7" w:rsidRDefault="000556AB" w:rsidP="008A05B7">
            <w:pPr>
              <w:spacing w:after="120"/>
              <w:jc w:val="center"/>
              <w:rPr>
                <w:rFonts w:ascii="Times New Roman" w:eastAsia="Times New Roman" w:hAnsi="Times New Roman" w:cs="Times New Roman"/>
                <w:b/>
                <w:sz w:val="24"/>
                <w:szCs w:val="24"/>
              </w:rPr>
            </w:pPr>
            <w:r w:rsidRPr="008A05B7">
              <w:rPr>
                <w:rFonts w:ascii="Times New Roman" w:eastAsia="Times New Roman" w:hAnsi="Times New Roman" w:cs="Times New Roman"/>
                <w:b/>
                <w:sz w:val="24"/>
                <w:szCs w:val="24"/>
              </w:rPr>
              <w:t>DEX</w:t>
            </w:r>
          </w:p>
        </w:tc>
      </w:tr>
      <w:tr w:rsidR="00BB17A0" w:rsidRPr="008A05B7" w14:paraId="2C779D86" w14:textId="77777777">
        <w:trPr>
          <w:trHeight w:val="570"/>
        </w:trPr>
        <w:tc>
          <w:tcPr>
            <w:tcW w:w="283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FC0D929" w14:textId="4DF4145F" w:rsidR="00BB17A0" w:rsidRPr="008A05B7" w:rsidRDefault="00B820EA" w:rsidP="008A05B7">
            <w:p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Legal entity</w:t>
            </w:r>
          </w:p>
        </w:tc>
        <w:tc>
          <w:tcPr>
            <w:tcW w:w="3090" w:type="dxa"/>
            <w:tcBorders>
              <w:top w:val="nil"/>
              <w:left w:val="nil"/>
              <w:bottom w:val="single" w:sz="6" w:space="0" w:color="000000"/>
              <w:right w:val="single" w:sz="6" w:space="0" w:color="000000"/>
            </w:tcBorders>
            <w:tcMar>
              <w:top w:w="0" w:type="dxa"/>
              <w:left w:w="100" w:type="dxa"/>
              <w:bottom w:w="0" w:type="dxa"/>
              <w:right w:w="100" w:type="dxa"/>
            </w:tcMar>
          </w:tcPr>
          <w:p w14:paraId="7457A7E6" w14:textId="16CD8567" w:rsidR="00BB17A0" w:rsidRPr="008A05B7" w:rsidRDefault="002C4451" w:rsidP="008A05B7">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r w:rsidR="000556AB" w:rsidRPr="008A05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licensed by </w:t>
            </w:r>
            <w:r w:rsidR="000556AB" w:rsidRPr="008A05B7">
              <w:rPr>
                <w:rFonts w:ascii="Times New Roman" w:eastAsia="Times New Roman" w:hAnsi="Times New Roman" w:cs="Times New Roman"/>
                <w:sz w:val="24"/>
                <w:szCs w:val="24"/>
              </w:rPr>
              <w:t>OJK/</w:t>
            </w:r>
            <w:r>
              <w:rPr>
                <w:rFonts w:ascii="Times New Roman" w:eastAsia="Times New Roman" w:hAnsi="Times New Roman" w:cs="Times New Roman"/>
                <w:sz w:val="24"/>
                <w:szCs w:val="24"/>
              </w:rPr>
              <w:t>other authorities</w:t>
            </w:r>
            <w:r w:rsidR="000556AB" w:rsidRPr="008A05B7">
              <w:rPr>
                <w:rFonts w:ascii="Times New Roman" w:eastAsia="Times New Roman" w:hAnsi="Times New Roman" w:cs="Times New Roman"/>
                <w:sz w:val="24"/>
                <w:szCs w:val="24"/>
              </w:rPr>
              <w:t>).</w:t>
            </w:r>
          </w:p>
        </w:tc>
        <w:tc>
          <w:tcPr>
            <w:tcW w:w="2970" w:type="dxa"/>
            <w:tcBorders>
              <w:top w:val="nil"/>
              <w:left w:val="nil"/>
              <w:bottom w:val="single" w:sz="6" w:space="0" w:color="000000"/>
              <w:right w:val="single" w:sz="6" w:space="0" w:color="000000"/>
            </w:tcBorders>
            <w:tcMar>
              <w:top w:w="0" w:type="dxa"/>
              <w:left w:w="100" w:type="dxa"/>
              <w:bottom w:w="0" w:type="dxa"/>
              <w:right w:w="100" w:type="dxa"/>
            </w:tcMar>
          </w:tcPr>
          <w:p w14:paraId="61D1109F" w14:textId="2451F18B" w:rsidR="00BB17A0" w:rsidRPr="002C4451" w:rsidRDefault="002C4451" w:rsidP="008A05B7">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None (smart contract only).</w:t>
            </w:r>
          </w:p>
        </w:tc>
      </w:tr>
      <w:tr w:rsidR="00BB17A0" w:rsidRPr="008A05B7" w14:paraId="7951329D" w14:textId="77777777">
        <w:trPr>
          <w:trHeight w:val="570"/>
        </w:trPr>
        <w:tc>
          <w:tcPr>
            <w:tcW w:w="283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3E2D787" w14:textId="77777777" w:rsidR="00BB17A0" w:rsidRPr="008A05B7" w:rsidRDefault="000556AB" w:rsidP="008A05B7">
            <w:pPr>
              <w:spacing w:after="120"/>
              <w:rPr>
                <w:rFonts w:ascii="Times New Roman" w:eastAsia="Times New Roman" w:hAnsi="Times New Roman" w:cs="Times New Roman"/>
                <w:b/>
                <w:sz w:val="24"/>
                <w:szCs w:val="24"/>
              </w:rPr>
            </w:pPr>
            <w:r w:rsidRPr="008A05B7">
              <w:rPr>
                <w:rFonts w:ascii="Times New Roman" w:eastAsia="Times New Roman" w:hAnsi="Times New Roman" w:cs="Times New Roman"/>
                <w:b/>
                <w:sz w:val="24"/>
                <w:szCs w:val="24"/>
              </w:rPr>
              <w:t>KYC/AML</w:t>
            </w:r>
          </w:p>
        </w:tc>
        <w:tc>
          <w:tcPr>
            <w:tcW w:w="3090" w:type="dxa"/>
            <w:tcBorders>
              <w:top w:val="nil"/>
              <w:left w:val="nil"/>
              <w:bottom w:val="single" w:sz="6" w:space="0" w:color="000000"/>
              <w:right w:val="single" w:sz="6" w:space="0" w:color="000000"/>
            </w:tcBorders>
            <w:tcMar>
              <w:top w:w="0" w:type="dxa"/>
              <w:left w:w="100" w:type="dxa"/>
              <w:bottom w:w="0" w:type="dxa"/>
              <w:right w:w="100" w:type="dxa"/>
            </w:tcMar>
          </w:tcPr>
          <w:p w14:paraId="30731236" w14:textId="2A7903FD" w:rsidR="00BB17A0" w:rsidRPr="008A05B7" w:rsidRDefault="000556AB" w:rsidP="008A05B7">
            <w:pPr>
              <w:spacing w:after="120"/>
              <w:rPr>
                <w:rFonts w:ascii="Times New Roman" w:eastAsia="Times New Roman" w:hAnsi="Times New Roman" w:cs="Times New Roman"/>
                <w:sz w:val="24"/>
                <w:szCs w:val="24"/>
              </w:rPr>
            </w:pPr>
            <w:r w:rsidRPr="008A05B7">
              <w:rPr>
                <w:rFonts w:ascii="Times New Roman" w:eastAsia="Times New Roman" w:hAnsi="Times New Roman" w:cs="Times New Roman"/>
                <w:sz w:val="24"/>
                <w:szCs w:val="24"/>
              </w:rPr>
              <w:t>KYC</w:t>
            </w:r>
            <w:r w:rsidR="002C4451">
              <w:rPr>
                <w:rFonts w:ascii="Times New Roman" w:eastAsia="Times New Roman" w:hAnsi="Times New Roman" w:cs="Times New Roman"/>
                <w:sz w:val="24"/>
                <w:szCs w:val="24"/>
              </w:rPr>
              <w:t xml:space="preserve"> required</w:t>
            </w:r>
            <w:r w:rsidRPr="008A05B7">
              <w:rPr>
                <w:rFonts w:ascii="Times New Roman" w:eastAsia="Times New Roman" w:hAnsi="Times New Roman" w:cs="Times New Roman"/>
                <w:sz w:val="24"/>
                <w:szCs w:val="24"/>
              </w:rPr>
              <w:t xml:space="preserve">; </w:t>
            </w:r>
            <w:r w:rsidR="002C4451">
              <w:rPr>
                <w:rFonts w:ascii="Times New Roman" w:eastAsia="Times New Roman" w:hAnsi="Times New Roman" w:cs="Times New Roman"/>
                <w:sz w:val="24"/>
                <w:szCs w:val="24"/>
              </w:rPr>
              <w:t>full user data</w:t>
            </w:r>
            <w:r w:rsidRPr="008A05B7">
              <w:rPr>
                <w:rFonts w:ascii="Times New Roman" w:eastAsia="Times New Roman" w:hAnsi="Times New Roman" w:cs="Times New Roman"/>
                <w:sz w:val="24"/>
                <w:szCs w:val="24"/>
              </w:rPr>
              <w:t>.</w:t>
            </w:r>
          </w:p>
        </w:tc>
        <w:tc>
          <w:tcPr>
            <w:tcW w:w="2970" w:type="dxa"/>
            <w:tcBorders>
              <w:top w:val="nil"/>
              <w:left w:val="nil"/>
              <w:bottom w:val="single" w:sz="6" w:space="0" w:color="000000"/>
              <w:right w:val="single" w:sz="6" w:space="0" w:color="000000"/>
            </w:tcBorders>
            <w:tcMar>
              <w:top w:w="0" w:type="dxa"/>
              <w:left w:w="100" w:type="dxa"/>
              <w:bottom w:w="0" w:type="dxa"/>
              <w:right w:w="100" w:type="dxa"/>
            </w:tcMar>
          </w:tcPr>
          <w:p w14:paraId="498E75FC" w14:textId="587FFBD8" w:rsidR="00BB17A0" w:rsidRPr="002C4451" w:rsidRDefault="002C4451" w:rsidP="008A05B7">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No KYC; pseudonymous.</w:t>
            </w:r>
          </w:p>
        </w:tc>
      </w:tr>
      <w:tr w:rsidR="00BB17A0" w:rsidRPr="008A05B7" w14:paraId="124B1827" w14:textId="77777777">
        <w:trPr>
          <w:trHeight w:val="570"/>
        </w:trPr>
        <w:tc>
          <w:tcPr>
            <w:tcW w:w="283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B0FAAB8" w14:textId="367210F1" w:rsidR="00BB17A0" w:rsidRPr="008A05B7" w:rsidRDefault="00B820EA" w:rsidP="008A05B7">
            <w:pPr>
              <w:spacing w:after="12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Asset custody</w:t>
            </w:r>
          </w:p>
        </w:tc>
        <w:tc>
          <w:tcPr>
            <w:tcW w:w="3090" w:type="dxa"/>
            <w:tcBorders>
              <w:top w:val="nil"/>
              <w:left w:val="nil"/>
              <w:bottom w:val="single" w:sz="6" w:space="0" w:color="000000"/>
              <w:right w:val="single" w:sz="6" w:space="0" w:color="000000"/>
            </w:tcBorders>
            <w:tcMar>
              <w:top w:w="0" w:type="dxa"/>
              <w:left w:w="100" w:type="dxa"/>
              <w:bottom w:w="0" w:type="dxa"/>
              <w:right w:w="100" w:type="dxa"/>
            </w:tcMar>
          </w:tcPr>
          <w:p w14:paraId="63152E15" w14:textId="46002B5D" w:rsidR="00BB17A0" w:rsidRPr="008A05B7" w:rsidRDefault="002C4451" w:rsidP="008A05B7">
            <w:pPr>
              <w:spacing w:after="120"/>
              <w:rPr>
                <w:rFonts w:ascii="Times New Roman" w:eastAsia="Times New Roman" w:hAnsi="Times New Roman" w:cs="Times New Roman"/>
                <w:sz w:val="24"/>
                <w:szCs w:val="24"/>
              </w:rPr>
            </w:pPr>
            <w:r>
              <w:rPr>
                <w:rFonts w:ascii="Times New Roman" w:eastAsia="Times New Roman" w:hAnsi="Times New Roman" w:cs="Times New Roman"/>
                <w:iCs/>
                <w:sz w:val="24"/>
                <w:szCs w:val="24"/>
              </w:rPr>
              <w:t>The exchange holds users’ assets</w:t>
            </w:r>
            <w:r w:rsidR="000556AB" w:rsidRPr="008A05B7">
              <w:rPr>
                <w:rFonts w:ascii="Times New Roman" w:eastAsia="Times New Roman" w:hAnsi="Times New Roman" w:cs="Times New Roman"/>
                <w:sz w:val="24"/>
                <w:szCs w:val="24"/>
              </w:rPr>
              <w:t>.</w:t>
            </w:r>
          </w:p>
        </w:tc>
        <w:tc>
          <w:tcPr>
            <w:tcW w:w="2970" w:type="dxa"/>
            <w:tcBorders>
              <w:top w:val="nil"/>
              <w:left w:val="nil"/>
              <w:bottom w:val="single" w:sz="6" w:space="0" w:color="000000"/>
              <w:right w:val="single" w:sz="6" w:space="0" w:color="000000"/>
            </w:tcBorders>
            <w:tcMar>
              <w:top w:w="0" w:type="dxa"/>
              <w:left w:w="100" w:type="dxa"/>
              <w:bottom w:w="0" w:type="dxa"/>
              <w:right w:w="100" w:type="dxa"/>
            </w:tcMar>
          </w:tcPr>
          <w:p w14:paraId="3E95C248" w14:textId="2D0F5955" w:rsidR="00BB17A0" w:rsidRPr="002C4451" w:rsidRDefault="002C4451" w:rsidP="008A05B7">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Assets remain in the user’s wallet.</w:t>
            </w:r>
          </w:p>
        </w:tc>
      </w:tr>
      <w:tr w:rsidR="00BB17A0" w:rsidRPr="008A05B7" w14:paraId="6B17C619" w14:textId="77777777">
        <w:trPr>
          <w:trHeight w:val="570"/>
        </w:trPr>
        <w:tc>
          <w:tcPr>
            <w:tcW w:w="283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5EA5B65" w14:textId="5E383E3E" w:rsidR="00BB17A0" w:rsidRPr="008A05B7" w:rsidRDefault="00B820EA" w:rsidP="008A05B7">
            <w:p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Business model</w:t>
            </w:r>
          </w:p>
        </w:tc>
        <w:tc>
          <w:tcPr>
            <w:tcW w:w="3090" w:type="dxa"/>
            <w:tcBorders>
              <w:top w:val="nil"/>
              <w:left w:val="nil"/>
              <w:bottom w:val="single" w:sz="6" w:space="0" w:color="000000"/>
              <w:right w:val="single" w:sz="6" w:space="0" w:color="000000"/>
            </w:tcBorders>
            <w:tcMar>
              <w:top w:w="0" w:type="dxa"/>
              <w:left w:w="100" w:type="dxa"/>
              <w:bottom w:w="0" w:type="dxa"/>
              <w:right w:w="100" w:type="dxa"/>
            </w:tcMar>
          </w:tcPr>
          <w:p w14:paraId="6AC1199D" w14:textId="62F6E6DC" w:rsidR="00BB17A0" w:rsidRPr="008A05B7" w:rsidRDefault="002C4451" w:rsidP="008A05B7">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 and spread-based</w:t>
            </w:r>
            <w:r w:rsidR="000556AB" w:rsidRPr="008A05B7">
              <w:rPr>
                <w:rFonts w:ascii="Times New Roman" w:eastAsia="Times New Roman" w:hAnsi="Times New Roman" w:cs="Times New Roman"/>
                <w:sz w:val="24"/>
                <w:szCs w:val="24"/>
              </w:rPr>
              <w:t>.</w:t>
            </w:r>
          </w:p>
        </w:tc>
        <w:tc>
          <w:tcPr>
            <w:tcW w:w="2970" w:type="dxa"/>
            <w:tcBorders>
              <w:top w:val="nil"/>
              <w:left w:val="nil"/>
              <w:bottom w:val="single" w:sz="6" w:space="0" w:color="000000"/>
              <w:right w:val="single" w:sz="6" w:space="0" w:color="000000"/>
            </w:tcBorders>
            <w:tcMar>
              <w:top w:w="0" w:type="dxa"/>
              <w:left w:w="100" w:type="dxa"/>
              <w:bottom w:w="0" w:type="dxa"/>
              <w:right w:w="100" w:type="dxa"/>
            </w:tcMar>
          </w:tcPr>
          <w:p w14:paraId="0D0099C5" w14:textId="499413F5" w:rsidR="00BB17A0" w:rsidRPr="002C4451" w:rsidRDefault="002C4451" w:rsidP="008A05B7">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liquidity pools and protocol service fees.</w:t>
            </w:r>
          </w:p>
        </w:tc>
      </w:tr>
      <w:tr w:rsidR="00BB17A0" w:rsidRPr="008A05B7" w14:paraId="32F0C591" w14:textId="77777777">
        <w:trPr>
          <w:trHeight w:val="570"/>
        </w:trPr>
        <w:tc>
          <w:tcPr>
            <w:tcW w:w="283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A179B61" w14:textId="18A77342" w:rsidR="00BB17A0" w:rsidRPr="008A05B7" w:rsidRDefault="00B820EA" w:rsidP="008A05B7">
            <w:p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Tax collection </w:t>
            </w:r>
            <w:r w:rsidR="002C4451" w:rsidRPr="002C4451">
              <w:rPr>
                <w:rFonts w:ascii="Times New Roman" w:eastAsia="Times New Roman" w:hAnsi="Times New Roman" w:cs="Times New Roman"/>
                <w:b/>
                <w:sz w:val="24"/>
                <w:szCs w:val="24"/>
              </w:rPr>
              <w:t>capability</w:t>
            </w:r>
          </w:p>
        </w:tc>
        <w:tc>
          <w:tcPr>
            <w:tcW w:w="3090" w:type="dxa"/>
            <w:tcBorders>
              <w:top w:val="nil"/>
              <w:left w:val="nil"/>
              <w:bottom w:val="single" w:sz="6" w:space="0" w:color="000000"/>
              <w:right w:val="single" w:sz="6" w:space="0" w:color="000000"/>
            </w:tcBorders>
            <w:tcMar>
              <w:top w:w="0" w:type="dxa"/>
              <w:left w:w="100" w:type="dxa"/>
              <w:bottom w:w="0" w:type="dxa"/>
              <w:right w:w="100" w:type="dxa"/>
            </w:tcMar>
          </w:tcPr>
          <w:p w14:paraId="46B09A1A" w14:textId="01A123E0" w:rsidR="00BB17A0" w:rsidRPr="008A05B7" w:rsidRDefault="002C4451" w:rsidP="008A05B7">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High (exchange acts as VAT/Income Tax collector).</w:t>
            </w:r>
          </w:p>
        </w:tc>
        <w:tc>
          <w:tcPr>
            <w:tcW w:w="2970" w:type="dxa"/>
            <w:tcBorders>
              <w:top w:val="nil"/>
              <w:left w:val="nil"/>
              <w:bottom w:val="single" w:sz="6" w:space="0" w:color="000000"/>
              <w:right w:val="single" w:sz="6" w:space="0" w:color="000000"/>
            </w:tcBorders>
            <w:tcMar>
              <w:top w:w="0" w:type="dxa"/>
              <w:left w:w="100" w:type="dxa"/>
              <w:bottom w:w="0" w:type="dxa"/>
              <w:right w:w="100" w:type="dxa"/>
            </w:tcMar>
          </w:tcPr>
          <w:p w14:paraId="0014A453" w14:textId="1BFDDB86" w:rsidR="00BB17A0" w:rsidRPr="002C4451" w:rsidRDefault="002C4451" w:rsidP="008A05B7">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Low (no collector).</w:t>
            </w:r>
          </w:p>
        </w:tc>
      </w:tr>
      <w:tr w:rsidR="00BB17A0" w:rsidRPr="008A05B7" w14:paraId="2447C2E0" w14:textId="77777777">
        <w:trPr>
          <w:trHeight w:val="570"/>
        </w:trPr>
        <w:tc>
          <w:tcPr>
            <w:tcW w:w="283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9D8151B" w14:textId="4D3961F8" w:rsidR="00BB17A0" w:rsidRPr="008A05B7" w:rsidRDefault="002C4451" w:rsidP="008A05B7">
            <w:p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Coverage by</w:t>
            </w:r>
            <w:r w:rsidR="000556AB" w:rsidRPr="008A05B7">
              <w:rPr>
                <w:rFonts w:ascii="Times New Roman" w:eastAsia="Times New Roman" w:hAnsi="Times New Roman" w:cs="Times New Roman"/>
                <w:b/>
                <w:sz w:val="24"/>
                <w:szCs w:val="24"/>
              </w:rPr>
              <w:t xml:space="preserve"> PMK 50/2025</w:t>
            </w:r>
          </w:p>
        </w:tc>
        <w:tc>
          <w:tcPr>
            <w:tcW w:w="3090" w:type="dxa"/>
            <w:tcBorders>
              <w:top w:val="nil"/>
              <w:left w:val="nil"/>
              <w:bottom w:val="single" w:sz="6" w:space="0" w:color="000000"/>
              <w:right w:val="single" w:sz="6" w:space="0" w:color="000000"/>
            </w:tcBorders>
            <w:tcMar>
              <w:top w:w="0" w:type="dxa"/>
              <w:left w:w="100" w:type="dxa"/>
              <w:bottom w:w="0" w:type="dxa"/>
              <w:right w:w="100" w:type="dxa"/>
            </w:tcMar>
          </w:tcPr>
          <w:p w14:paraId="51AE9495" w14:textId="211E2EF5" w:rsidR="00BB17A0" w:rsidRPr="008A05B7" w:rsidRDefault="000556AB" w:rsidP="008A05B7">
            <w:pPr>
              <w:spacing w:after="120"/>
              <w:rPr>
                <w:rFonts w:ascii="Times New Roman" w:eastAsia="Times New Roman" w:hAnsi="Times New Roman" w:cs="Times New Roman"/>
                <w:sz w:val="24"/>
                <w:szCs w:val="24"/>
              </w:rPr>
            </w:pPr>
            <w:r w:rsidRPr="008A05B7">
              <w:rPr>
                <w:rFonts w:ascii="Times New Roman" w:eastAsia="Times New Roman" w:hAnsi="Times New Roman" w:cs="Times New Roman"/>
                <w:sz w:val="24"/>
                <w:szCs w:val="24"/>
              </w:rPr>
              <w:t>Y</w:t>
            </w:r>
            <w:r w:rsidR="002C4451">
              <w:rPr>
                <w:rFonts w:ascii="Times New Roman" w:eastAsia="Times New Roman" w:hAnsi="Times New Roman" w:cs="Times New Roman"/>
                <w:sz w:val="24"/>
                <w:szCs w:val="24"/>
              </w:rPr>
              <w:t>es, fully</w:t>
            </w:r>
            <w:r w:rsidRPr="008A05B7">
              <w:rPr>
                <w:rFonts w:ascii="Times New Roman" w:eastAsia="Times New Roman" w:hAnsi="Times New Roman" w:cs="Times New Roman"/>
                <w:sz w:val="24"/>
                <w:szCs w:val="24"/>
              </w:rPr>
              <w:t>.</w:t>
            </w:r>
          </w:p>
        </w:tc>
        <w:tc>
          <w:tcPr>
            <w:tcW w:w="2970" w:type="dxa"/>
            <w:tcBorders>
              <w:top w:val="nil"/>
              <w:left w:val="nil"/>
              <w:bottom w:val="single" w:sz="6" w:space="0" w:color="000000"/>
              <w:right w:val="single" w:sz="6" w:space="0" w:color="000000"/>
            </w:tcBorders>
            <w:tcMar>
              <w:top w:w="0" w:type="dxa"/>
              <w:left w:w="100" w:type="dxa"/>
              <w:bottom w:w="0" w:type="dxa"/>
              <w:right w:w="100" w:type="dxa"/>
            </w:tcMar>
          </w:tcPr>
          <w:p w14:paraId="318707EC" w14:textId="58D36B7E" w:rsidR="00BB17A0" w:rsidRPr="002C4451" w:rsidRDefault="002C4451" w:rsidP="008A05B7">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No, not at all.</w:t>
            </w:r>
          </w:p>
        </w:tc>
      </w:tr>
    </w:tbl>
    <w:p w14:paraId="700BD28E" w14:textId="154924FE" w:rsidR="00BB17A0" w:rsidRPr="008A05B7" w:rsidRDefault="002C4451" w:rsidP="008A05B7">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Source</w:t>
      </w:r>
      <w:r w:rsidR="000556AB" w:rsidRPr="008A05B7">
        <w:rPr>
          <w:rFonts w:ascii="Times New Roman" w:eastAsia="Times New Roman" w:hAnsi="Times New Roman" w:cs="Times New Roman"/>
          <w:sz w:val="24"/>
          <w:szCs w:val="24"/>
        </w:rPr>
        <w:t xml:space="preserve">: data </w:t>
      </w:r>
      <w:r>
        <w:rPr>
          <w:rFonts w:ascii="Times New Roman" w:eastAsia="Times New Roman" w:hAnsi="Times New Roman" w:cs="Times New Roman"/>
          <w:sz w:val="24"/>
          <w:szCs w:val="24"/>
        </w:rPr>
        <w:t>processed by the author.</w:t>
      </w:r>
    </w:p>
    <w:p w14:paraId="109980DC" w14:textId="77777777" w:rsidR="00BB17A0" w:rsidRPr="008A05B7" w:rsidRDefault="000556AB" w:rsidP="008A05B7">
      <w:pPr>
        <w:spacing w:after="120"/>
        <w:jc w:val="both"/>
        <w:rPr>
          <w:rFonts w:ascii="Times New Roman" w:eastAsia="Times New Roman" w:hAnsi="Times New Roman" w:cs="Times New Roman"/>
          <w:sz w:val="24"/>
          <w:szCs w:val="24"/>
        </w:rPr>
      </w:pPr>
      <w:r w:rsidRPr="008A05B7">
        <w:rPr>
          <w:rFonts w:ascii="Times New Roman" w:eastAsia="Times New Roman" w:hAnsi="Times New Roman" w:cs="Times New Roman"/>
          <w:sz w:val="24"/>
          <w:szCs w:val="24"/>
        </w:rPr>
        <w:t xml:space="preserve"> </w:t>
      </w:r>
    </w:p>
    <w:p w14:paraId="0085326C" w14:textId="77777777" w:rsidR="002C4451" w:rsidRPr="002C4451" w:rsidRDefault="002C4451" w:rsidP="002C4451">
      <w:pPr>
        <w:spacing w:after="120"/>
        <w:jc w:val="both"/>
        <w:rPr>
          <w:rFonts w:ascii="Times New Roman" w:eastAsia="Times New Roman" w:hAnsi="Times New Roman" w:cs="Times New Roman"/>
          <w:sz w:val="24"/>
          <w:szCs w:val="24"/>
          <w:lang w:val="en-GB"/>
        </w:rPr>
      </w:pPr>
      <w:r w:rsidRPr="002C4451">
        <w:rPr>
          <w:rFonts w:ascii="Times New Roman" w:eastAsia="Times New Roman" w:hAnsi="Times New Roman" w:cs="Times New Roman"/>
          <w:sz w:val="24"/>
          <w:szCs w:val="24"/>
          <w:lang w:val="en-GB"/>
        </w:rPr>
        <w:lastRenderedPageBreak/>
        <w:t>Table 1 underscores that CEX and DEX rest on entirely different architectures. A CEX is a licensed institution with legal certainty, KYC/AML processes, and custodial infrastructure. This combination produces a complete administrative trail—from user identity and transaction history to proof of tax withholding. A DEX, by contrast, is a protocol run by smart contracts without a managing entity. The absence of KYC obligations, the pseudonymous nature of wallet addresses, and non-custodial custody sever the chain of fiscal accountability. As a result, legal instruments that rely on legal persons and administrative evidence are easier to apply to CEXs but lose their basis for application on DEXs.</w:t>
      </w:r>
    </w:p>
    <w:p w14:paraId="10EBFD0E" w14:textId="77777777" w:rsidR="002C4451" w:rsidRPr="002C4451" w:rsidRDefault="002C4451" w:rsidP="002C4451">
      <w:pPr>
        <w:spacing w:after="120"/>
        <w:jc w:val="both"/>
        <w:rPr>
          <w:rFonts w:ascii="Times New Roman" w:eastAsia="Times New Roman" w:hAnsi="Times New Roman" w:cs="Times New Roman"/>
          <w:sz w:val="24"/>
          <w:szCs w:val="24"/>
          <w:lang w:val="en-GB"/>
        </w:rPr>
      </w:pPr>
      <w:r w:rsidRPr="002C4451">
        <w:rPr>
          <w:rFonts w:ascii="Times New Roman" w:eastAsia="Times New Roman" w:hAnsi="Times New Roman" w:cs="Times New Roman"/>
          <w:sz w:val="24"/>
          <w:szCs w:val="24"/>
          <w:lang w:val="en-GB"/>
        </w:rPr>
        <w:t>From a collection perspective, these differences create an asymmetry of tax visibility. On CEXs, the exchange can be appointed as a collector of final Article 22 income tax and VAT on services, while also serving as a data source for audits because all transaction flows are recorded and can be traced to identities. On DEXs, the tax base appears only as on-chain flows between wallets. Without a collector, without invoices, and without identities, the tax authority can in practice see only the shadow, not the subject. The remaining weak points are the entry point from the conventional financial system into crypto assets (on-ramp) and the exit point from the crypto ecosystem back to the conventional financial system (off-ramp), for example when users convert crypto to fiat on a CEX or with a custodian. Even then, it requires on-chain analytics, wallet clustering, and cross-source correlation to link flows to resident taxpayers.</w:t>
      </w:r>
    </w:p>
    <w:p w14:paraId="4857AED2" w14:textId="77777777" w:rsidR="002C4451" w:rsidRPr="002C4451" w:rsidRDefault="002C4451" w:rsidP="002C4451">
      <w:pPr>
        <w:spacing w:after="120"/>
        <w:jc w:val="both"/>
        <w:rPr>
          <w:rFonts w:ascii="Times New Roman" w:eastAsia="Times New Roman" w:hAnsi="Times New Roman" w:cs="Times New Roman"/>
          <w:sz w:val="24"/>
          <w:szCs w:val="24"/>
          <w:lang w:val="en-GB"/>
        </w:rPr>
      </w:pPr>
      <w:r w:rsidRPr="002C4451">
        <w:rPr>
          <w:rFonts w:ascii="Times New Roman" w:eastAsia="Times New Roman" w:hAnsi="Times New Roman" w:cs="Times New Roman"/>
          <w:sz w:val="24"/>
          <w:szCs w:val="24"/>
          <w:lang w:val="en-GB"/>
        </w:rPr>
        <w:t xml:space="preserve">The consequences are dynamic, not static. Because DEXs eliminate upfront withholding, the after-tax differential between trading on a CEX and on a DEX will drive </w:t>
      </w:r>
      <w:proofErr w:type="spellStart"/>
      <w:r w:rsidRPr="002C4451">
        <w:rPr>
          <w:rFonts w:ascii="Times New Roman" w:eastAsia="Times New Roman" w:hAnsi="Times New Roman" w:cs="Times New Roman"/>
          <w:sz w:val="24"/>
          <w:szCs w:val="24"/>
          <w:lang w:val="en-GB"/>
        </w:rPr>
        <w:t>behavioral</w:t>
      </w:r>
      <w:proofErr w:type="spellEnd"/>
      <w:r w:rsidRPr="002C4451">
        <w:rPr>
          <w:rFonts w:ascii="Times New Roman" w:eastAsia="Times New Roman" w:hAnsi="Times New Roman" w:cs="Times New Roman"/>
          <w:sz w:val="24"/>
          <w:szCs w:val="24"/>
          <w:lang w:val="en-GB"/>
        </w:rPr>
        <w:t xml:space="preserve"> migration. As investors maximize after-tax returns, the share of volume shifting to DEXs will rise until hidden costs on DEXs—such as execution risk and gas fees—offset the fiscal advantage. Within the framework of complex adaptive systems, the ecosystem adapts to incentives. A complex adaptive system is a system with many agents that interact and adapt/learn, where decentralized interactions generate emergent macro patterns (Holland, 1992). If policy tightens only on CEXs, administrative compliance may increase, but material compliance can stagnate or fall because the tax base moves into spaces that are out of reach.</w:t>
      </w:r>
    </w:p>
    <w:p w14:paraId="66DA7E20" w14:textId="77777777" w:rsidR="002C4451" w:rsidRPr="002C4451" w:rsidRDefault="002C4451" w:rsidP="002C4451">
      <w:pPr>
        <w:spacing w:after="120"/>
        <w:jc w:val="both"/>
        <w:rPr>
          <w:rFonts w:ascii="Times New Roman" w:eastAsia="Times New Roman" w:hAnsi="Times New Roman" w:cs="Times New Roman"/>
          <w:sz w:val="24"/>
          <w:szCs w:val="24"/>
          <w:lang w:val="en-GB"/>
        </w:rPr>
      </w:pPr>
      <w:r w:rsidRPr="002C4451">
        <w:rPr>
          <w:rFonts w:ascii="Times New Roman" w:eastAsia="Times New Roman" w:hAnsi="Times New Roman" w:cs="Times New Roman"/>
          <w:sz w:val="24"/>
          <w:szCs w:val="24"/>
          <w:lang w:val="en-GB"/>
        </w:rPr>
        <w:t>By way of illustration, with national crypto trading volume of about IDR 200 trillion per year, potential tax revenue is actually 0.21 percent × IDR 200 trillion = IDR 420 billion. However, if half of those transactions occur on DEXs that have no reporting obligations or withholding mechanisms, then around 50% × IDR 420 billion = IDR 210 billion in potential revenue is lost to the state.</w:t>
      </w:r>
    </w:p>
    <w:p w14:paraId="67256CE3" w14:textId="77777777" w:rsidR="002C4451" w:rsidRPr="002C4451" w:rsidRDefault="002C4451" w:rsidP="002C4451">
      <w:pPr>
        <w:spacing w:after="120"/>
        <w:jc w:val="both"/>
        <w:rPr>
          <w:rFonts w:ascii="Times New Roman" w:eastAsia="Times New Roman" w:hAnsi="Times New Roman" w:cs="Times New Roman"/>
          <w:sz w:val="24"/>
          <w:szCs w:val="24"/>
          <w:lang w:val="en-GB"/>
        </w:rPr>
      </w:pPr>
      <w:r w:rsidRPr="002C4451">
        <w:rPr>
          <w:rFonts w:ascii="Times New Roman" w:eastAsia="Times New Roman" w:hAnsi="Times New Roman" w:cs="Times New Roman"/>
          <w:sz w:val="24"/>
          <w:szCs w:val="24"/>
          <w:lang w:val="en-GB"/>
        </w:rPr>
        <w:t xml:space="preserve">In practice, the size of the revenue leakage depends not only on the DEX share but also on the degree to which transactions are linked to domestic taxpayers and on the state’s ability to capture fund flows at the gateways where crypto is converted to rupiah (on-ramps and off-ramps). Still using national crypto trading volume of about IDR 200 trillion, if 50 to 70 percent of volume has moved to DEXs and only a small portion passes through domestic CEXs, the potential revenue loss can reach IDR 210 billion (50% × IDR 420 billion) to IDR 294 billion (70% × IDR 420 billion) </w:t>
      </w:r>
      <w:r w:rsidRPr="002C4451">
        <w:rPr>
          <w:rFonts w:ascii="Times New Roman" w:eastAsia="Times New Roman" w:hAnsi="Times New Roman" w:cs="Times New Roman"/>
          <w:sz w:val="24"/>
          <w:szCs w:val="24"/>
          <w:lang w:val="en-GB"/>
        </w:rPr>
        <w:lastRenderedPageBreak/>
        <w:t>per year. Here emerges the illusion of compliance: receipts appear stable while the structural gap widens.</w:t>
      </w:r>
    </w:p>
    <w:p w14:paraId="21CF2373" w14:textId="0A3AE487" w:rsidR="002C4451" w:rsidRPr="002C4451" w:rsidRDefault="002C4451" w:rsidP="002C4451">
      <w:pPr>
        <w:spacing w:after="120"/>
        <w:jc w:val="both"/>
        <w:rPr>
          <w:rFonts w:ascii="Times New Roman" w:eastAsia="Times New Roman" w:hAnsi="Times New Roman" w:cs="Times New Roman"/>
          <w:sz w:val="24"/>
          <w:szCs w:val="24"/>
          <w:lang w:val="en-GB"/>
        </w:rPr>
      </w:pPr>
      <w:r w:rsidRPr="002C4451">
        <w:rPr>
          <w:rFonts w:ascii="Times New Roman" w:eastAsia="Times New Roman" w:hAnsi="Times New Roman" w:cs="Times New Roman"/>
          <w:sz w:val="24"/>
          <w:szCs w:val="24"/>
          <w:lang w:val="en-GB"/>
        </w:rPr>
        <w:t xml:space="preserve">The implication is that a strategy that concentrates obligations solely on CEXs is an easy short-term solution, but brittle. A more resilient approach needs to shift focus from institutions to architecture. Relevant policy options include expanding collection points at on-ramps and off-ramps; imposing reporting obligations on </w:t>
      </w:r>
      <w:r w:rsidR="00131E68">
        <w:rPr>
          <w:rFonts w:ascii="Times New Roman" w:eastAsia="Times New Roman" w:hAnsi="Times New Roman" w:cs="Times New Roman"/>
          <w:sz w:val="24"/>
          <w:szCs w:val="24"/>
          <w:lang w:val="en-GB"/>
        </w:rPr>
        <w:t>consumer-facing</w:t>
      </w:r>
      <w:r w:rsidRPr="002C4451">
        <w:rPr>
          <w:rFonts w:ascii="Times New Roman" w:eastAsia="Times New Roman" w:hAnsi="Times New Roman" w:cs="Times New Roman"/>
          <w:sz w:val="24"/>
          <w:szCs w:val="24"/>
          <w:lang w:val="en-GB"/>
        </w:rPr>
        <w:t xml:space="preserve"> DEX front ends; introducing regulated DeFi schemes with verification-based access; using on-chain analytics to tag flows associated with residency; and integrating </w:t>
      </w:r>
      <w:r w:rsidR="00131E68">
        <w:rPr>
          <w:rFonts w:ascii="Times New Roman" w:eastAsia="Times New Roman" w:hAnsi="Times New Roman" w:cs="Times New Roman"/>
          <w:sz w:val="24"/>
          <w:szCs w:val="24"/>
          <w:lang w:val="en-GB"/>
        </w:rPr>
        <w:t>cross-border</w:t>
      </w:r>
      <w:r w:rsidRPr="002C4451">
        <w:rPr>
          <w:rFonts w:ascii="Times New Roman" w:eastAsia="Times New Roman" w:hAnsi="Times New Roman" w:cs="Times New Roman"/>
          <w:sz w:val="24"/>
          <w:szCs w:val="24"/>
          <w:lang w:val="en-GB"/>
        </w:rPr>
        <w:t xml:space="preserve"> crypto information-exchange standards so that protocol data can be matched to fiscal identities. Without a shift toward compliance by design and cross-jurisdiction data orchestration, the structural differences shown in Table 1 will continue to translate into a persistent tax gap.</w:t>
      </w:r>
    </w:p>
    <w:p w14:paraId="08CDB5F2" w14:textId="77777777" w:rsidR="001205AF" w:rsidRDefault="001205AF" w:rsidP="008A05B7">
      <w:pPr>
        <w:spacing w:after="120"/>
        <w:jc w:val="both"/>
        <w:rPr>
          <w:rFonts w:ascii="Times New Roman" w:eastAsia="Times New Roman" w:hAnsi="Times New Roman" w:cs="Times New Roman"/>
          <w:sz w:val="24"/>
          <w:szCs w:val="24"/>
        </w:rPr>
      </w:pPr>
    </w:p>
    <w:p w14:paraId="39BD1163" w14:textId="77777777" w:rsidR="002C4451" w:rsidRPr="002C4451" w:rsidRDefault="002C4451" w:rsidP="002C4451">
      <w:pPr>
        <w:spacing w:after="120"/>
        <w:jc w:val="both"/>
        <w:rPr>
          <w:rFonts w:ascii="Times New Roman" w:eastAsia="Times New Roman" w:hAnsi="Times New Roman" w:cs="Times New Roman"/>
          <w:b/>
          <w:sz w:val="24"/>
          <w:szCs w:val="24"/>
          <w:lang w:val="en-GB"/>
        </w:rPr>
      </w:pPr>
      <w:r w:rsidRPr="002C4451">
        <w:rPr>
          <w:rFonts w:ascii="Times New Roman" w:eastAsia="Times New Roman" w:hAnsi="Times New Roman" w:cs="Times New Roman"/>
          <w:b/>
          <w:bCs/>
          <w:sz w:val="24"/>
          <w:szCs w:val="24"/>
          <w:lang w:val="en-GB"/>
        </w:rPr>
        <w:t>Basic Assumptions and Structural Limitations</w:t>
      </w:r>
    </w:p>
    <w:p w14:paraId="2550DBFB" w14:textId="1F27B28F" w:rsidR="002C4451" w:rsidRPr="002C4451" w:rsidRDefault="002C4451" w:rsidP="002C4451">
      <w:pPr>
        <w:spacing w:after="120"/>
        <w:jc w:val="both"/>
        <w:rPr>
          <w:rFonts w:ascii="Times New Roman" w:eastAsia="Times New Roman" w:hAnsi="Times New Roman" w:cs="Times New Roman"/>
          <w:bCs/>
          <w:sz w:val="24"/>
          <w:szCs w:val="24"/>
          <w:lang w:val="en-GB"/>
        </w:rPr>
      </w:pPr>
      <w:r w:rsidRPr="002C4451">
        <w:rPr>
          <w:rFonts w:ascii="Times New Roman" w:eastAsia="Times New Roman" w:hAnsi="Times New Roman" w:cs="Times New Roman"/>
          <w:bCs/>
          <w:sz w:val="24"/>
          <w:szCs w:val="24"/>
          <w:lang w:val="en-GB"/>
        </w:rPr>
        <w:t xml:space="preserve">PMK 50/2025 is built on a gatekeeping assumption—namely, that exchanges function as intermediaries the state can instrument to withhold, remit, and report taxes. This assumption presumes three interdependent prerequisites. First, the exchange has comprehensive visibility over transactions and transacting parties. Second, the exchange can link transactions to taxpayers through identities validated via </w:t>
      </w:r>
      <w:r>
        <w:rPr>
          <w:rFonts w:ascii="Times New Roman" w:eastAsia="Times New Roman" w:hAnsi="Times New Roman" w:cs="Times New Roman"/>
          <w:bCs/>
          <w:sz w:val="24"/>
          <w:szCs w:val="24"/>
          <w:lang w:val="en-GB"/>
        </w:rPr>
        <w:t xml:space="preserve">KYC </w:t>
      </w:r>
      <w:r w:rsidRPr="002C4451">
        <w:rPr>
          <w:rFonts w:ascii="Times New Roman" w:eastAsia="Times New Roman" w:hAnsi="Times New Roman" w:cs="Times New Roman"/>
          <w:bCs/>
          <w:sz w:val="24"/>
          <w:szCs w:val="24"/>
          <w:lang w:val="en-GB"/>
        </w:rPr>
        <w:t xml:space="preserve">and </w:t>
      </w:r>
      <w:r>
        <w:rPr>
          <w:rFonts w:ascii="Times New Roman" w:eastAsia="Times New Roman" w:hAnsi="Times New Roman" w:cs="Times New Roman"/>
          <w:bCs/>
          <w:sz w:val="24"/>
          <w:szCs w:val="24"/>
          <w:lang w:val="en-GB"/>
        </w:rPr>
        <w:t xml:space="preserve">AML </w:t>
      </w:r>
      <w:r w:rsidRPr="002C4451">
        <w:rPr>
          <w:rFonts w:ascii="Times New Roman" w:eastAsia="Times New Roman" w:hAnsi="Times New Roman" w:cs="Times New Roman"/>
          <w:bCs/>
          <w:sz w:val="24"/>
          <w:szCs w:val="24"/>
          <w:lang w:val="en-GB"/>
        </w:rPr>
        <w:t>processes. Third, the exchange has sufficient operational capacity and compliance incentives to act as an extension of the tax authority. In a centralized capital market, these three prerequisites are relatively met, so the appointment of tax collectors can work effectively. In an increasingly on-chain and decentralized crypto ecosystem, however, the three no longer hold constant.</w:t>
      </w:r>
    </w:p>
    <w:p w14:paraId="2A13FDEF" w14:textId="77777777" w:rsidR="002C4451" w:rsidRPr="002C4451" w:rsidRDefault="002C4451" w:rsidP="002C4451">
      <w:pPr>
        <w:spacing w:after="120"/>
        <w:jc w:val="both"/>
        <w:rPr>
          <w:rFonts w:ascii="Times New Roman" w:eastAsia="Times New Roman" w:hAnsi="Times New Roman" w:cs="Times New Roman"/>
          <w:bCs/>
          <w:sz w:val="24"/>
          <w:szCs w:val="24"/>
          <w:lang w:val="en-GB"/>
        </w:rPr>
      </w:pPr>
      <w:r w:rsidRPr="002C4451">
        <w:rPr>
          <w:rFonts w:ascii="Times New Roman" w:eastAsia="Times New Roman" w:hAnsi="Times New Roman" w:cs="Times New Roman"/>
          <w:bCs/>
          <w:sz w:val="24"/>
          <w:szCs w:val="24"/>
          <w:lang w:val="en-GB"/>
        </w:rPr>
        <w:t>In DEXs, the coordination function is replaced by smart contracts running on public blockchains. There is no legal entity operating the ledger, no inherent administrative obligations, and no KYC process at the protocol level. Economic identity is reduced to a wallet address, which is pseudonymous and easily rotated. This character creates three governance frictions. First, the absence of a point of enforcement, because there is no legal person who can be designated as a withholder or collector. Second, a traceability gap, where traceability stops at the wallet address without verification of real-world identity. Third, jurisdictional indeterminacy, because cross-chain and cross-jurisdiction transactions do not reveal a clear territorial nexus. In combination, these factors cause an institution-based collection model to lose its footing, even though transaction data are public on the ledger.</w:t>
      </w:r>
    </w:p>
    <w:p w14:paraId="5C0173D1" w14:textId="77777777" w:rsidR="002C4451" w:rsidRPr="002C4451" w:rsidRDefault="002C4451" w:rsidP="002C4451">
      <w:pPr>
        <w:spacing w:after="120"/>
        <w:jc w:val="both"/>
        <w:rPr>
          <w:rFonts w:ascii="Times New Roman" w:eastAsia="Times New Roman" w:hAnsi="Times New Roman" w:cs="Times New Roman"/>
          <w:bCs/>
          <w:sz w:val="24"/>
          <w:szCs w:val="24"/>
          <w:lang w:val="en-GB"/>
        </w:rPr>
      </w:pPr>
      <w:r w:rsidRPr="002C4451">
        <w:rPr>
          <w:rFonts w:ascii="Times New Roman" w:eastAsia="Times New Roman" w:hAnsi="Times New Roman" w:cs="Times New Roman"/>
          <w:bCs/>
          <w:sz w:val="24"/>
          <w:szCs w:val="24"/>
          <w:lang w:val="en-GB"/>
        </w:rPr>
        <w:t xml:space="preserve">The designation of foreign exchanges as collectors of a 1 percent final Article 22 income tax, as regulated in Articles 17 to 22, is an attempt to extend the fiscal perimeter beyond the domestic regime. This instrument still clings to the logic of entities, since it is relevant only for providers that are incorporated, have significant economic presence, and are willing to interact with authorities. DEXs do not meet these criteria because they have no board of directors, legal address, or operator who can be appointed. Here a governance mismatch arises: regulation rests on </w:t>
      </w:r>
      <w:r w:rsidRPr="002C4451">
        <w:rPr>
          <w:rFonts w:ascii="Times New Roman" w:eastAsia="Times New Roman" w:hAnsi="Times New Roman" w:cs="Times New Roman"/>
          <w:bCs/>
          <w:sz w:val="24"/>
          <w:szCs w:val="24"/>
          <w:lang w:val="en-GB"/>
        </w:rPr>
        <w:lastRenderedPageBreak/>
        <w:t>obligations attached to organizations, while the protocol runs without an organization that can be held accountable. As a result, purely on-chain transactions occur directly between wallets, without invoices, without formal reporting, and beyond the reach of appointment provisions.</w:t>
      </w:r>
    </w:p>
    <w:p w14:paraId="3EC50965" w14:textId="77777777" w:rsidR="002C4451" w:rsidRPr="002C4451" w:rsidRDefault="002C4451" w:rsidP="002C4451">
      <w:pPr>
        <w:spacing w:after="120"/>
        <w:jc w:val="both"/>
        <w:rPr>
          <w:rFonts w:ascii="Times New Roman" w:eastAsia="Times New Roman" w:hAnsi="Times New Roman" w:cs="Times New Roman"/>
          <w:bCs/>
          <w:sz w:val="24"/>
          <w:szCs w:val="24"/>
          <w:lang w:val="en-GB"/>
        </w:rPr>
      </w:pPr>
      <w:r w:rsidRPr="002C4451">
        <w:rPr>
          <w:rFonts w:ascii="Times New Roman" w:eastAsia="Times New Roman" w:hAnsi="Times New Roman" w:cs="Times New Roman"/>
          <w:bCs/>
          <w:sz w:val="24"/>
          <w:szCs w:val="24"/>
          <w:lang w:val="en-GB"/>
        </w:rPr>
        <w:t>Normatively, this raises issues of nexus and attribution. Taxation presupposes an attributable relationship among the taxable event, the taxpayer, and the jurisdiction. On DEXs, attribution fails not because transaction data are absent, but because there is no legal binder linking on-chain data to fiscal identity. Receipts from centralized exchanges look neat and measurable, but the share of activity migrating to protocols grows the untaxed base. When the authority tightens administrative compliance on centralized exchanges, the relative incentive to migrate to DEXs increases, which in turn depresses the aggregate effectiveness of policy.</w:t>
      </w:r>
    </w:p>
    <w:p w14:paraId="280633D2" w14:textId="77777777" w:rsidR="002C4451" w:rsidRPr="002C4451" w:rsidRDefault="002C4451" w:rsidP="002C4451">
      <w:pPr>
        <w:spacing w:after="120"/>
        <w:jc w:val="both"/>
        <w:rPr>
          <w:rFonts w:ascii="Times New Roman" w:eastAsia="Times New Roman" w:hAnsi="Times New Roman" w:cs="Times New Roman"/>
          <w:bCs/>
          <w:sz w:val="24"/>
          <w:szCs w:val="24"/>
          <w:lang w:val="en-GB"/>
        </w:rPr>
      </w:pPr>
      <w:r w:rsidRPr="002C4451">
        <w:rPr>
          <w:rFonts w:ascii="Times New Roman" w:eastAsia="Times New Roman" w:hAnsi="Times New Roman" w:cs="Times New Roman"/>
          <w:bCs/>
          <w:sz w:val="24"/>
          <w:szCs w:val="24"/>
          <w:lang w:val="en-GB"/>
        </w:rPr>
        <w:t xml:space="preserve">On the instrument-design side, PMK 50/2025 relies on withholding at the source by entities that are easy to supervise. This instrument is efficient when transaction channels are dominated by intermediaries with reporting obligations. Its effectiveness declines, however, when intermediary-free channels take a larger share. Conceptually, this is a policy-perimeter problem: the policy perimeter is defined at the entity level, while economic activity shifts to the protocol level. The difference in levels produces high enforcement elasticity, where the enforcement elasticity of tax revenue is the elasticity of tax receipts with respect to an enforcement intervention—that is, the percent change in revenue resulting from a 1 percent increase in enforcement intensity (Keen &amp; </w:t>
      </w:r>
      <w:proofErr w:type="spellStart"/>
      <w:r w:rsidRPr="002C4451">
        <w:rPr>
          <w:rFonts w:ascii="Times New Roman" w:eastAsia="Times New Roman" w:hAnsi="Times New Roman" w:cs="Times New Roman"/>
          <w:bCs/>
          <w:sz w:val="24"/>
          <w:szCs w:val="24"/>
          <w:lang w:val="en-GB"/>
        </w:rPr>
        <w:t>Slemrod</w:t>
      </w:r>
      <w:proofErr w:type="spellEnd"/>
      <w:r w:rsidRPr="002C4451">
        <w:rPr>
          <w:rFonts w:ascii="Times New Roman" w:eastAsia="Times New Roman" w:hAnsi="Times New Roman" w:cs="Times New Roman"/>
          <w:bCs/>
          <w:sz w:val="24"/>
          <w:szCs w:val="24"/>
          <w:lang w:val="en-GB"/>
        </w:rPr>
        <w:t xml:space="preserve">, 2017). Enforcement at one point induces </w:t>
      </w:r>
      <w:proofErr w:type="spellStart"/>
      <w:r w:rsidRPr="002C4451">
        <w:rPr>
          <w:rFonts w:ascii="Times New Roman" w:eastAsia="Times New Roman" w:hAnsi="Times New Roman" w:cs="Times New Roman"/>
          <w:bCs/>
          <w:sz w:val="24"/>
          <w:szCs w:val="24"/>
          <w:lang w:val="en-GB"/>
        </w:rPr>
        <w:t>behavioral</w:t>
      </w:r>
      <w:proofErr w:type="spellEnd"/>
      <w:r w:rsidRPr="002C4451">
        <w:rPr>
          <w:rFonts w:ascii="Times New Roman" w:eastAsia="Times New Roman" w:hAnsi="Times New Roman" w:cs="Times New Roman"/>
          <w:bCs/>
          <w:sz w:val="24"/>
          <w:szCs w:val="24"/>
          <w:lang w:val="en-GB"/>
        </w:rPr>
        <w:t xml:space="preserve"> substitution to another point with lower compliance costs, so the gains are temporary.</w:t>
      </w:r>
    </w:p>
    <w:p w14:paraId="10FEC7BF" w14:textId="77777777" w:rsidR="002C4451" w:rsidRPr="002C4451" w:rsidRDefault="002C4451" w:rsidP="002C4451">
      <w:pPr>
        <w:spacing w:after="120"/>
        <w:jc w:val="both"/>
        <w:rPr>
          <w:rFonts w:ascii="Times New Roman" w:eastAsia="Times New Roman" w:hAnsi="Times New Roman" w:cs="Times New Roman"/>
          <w:bCs/>
          <w:sz w:val="24"/>
          <w:szCs w:val="24"/>
          <w:lang w:val="en-GB"/>
        </w:rPr>
      </w:pPr>
      <w:r w:rsidRPr="002C4451">
        <w:rPr>
          <w:rFonts w:ascii="Times New Roman" w:eastAsia="Times New Roman" w:hAnsi="Times New Roman" w:cs="Times New Roman"/>
          <w:bCs/>
          <w:sz w:val="24"/>
          <w:szCs w:val="24"/>
          <w:lang w:val="en-GB"/>
        </w:rPr>
        <w:t>Structural limitations also appear in the technology of linkage. Ledger transparency is not identical to fiscal transparency. On-chain data show value, time, and addresses, but do not always include identity or tax locus. To bridge this gap, a compliance infrastructure is needed to connect the on-chain world with the off-chain world—for example, through tax-reporting oracles, wallet attestation, or verifiable credentials embedded in wallets. Without this layer, the tax authority has only partial visibility, so enforcement strategies depend on on-ramps and off-ramps such as centralized exchanges, custodians, fiat gateways, and payment providers. Dependence on these gateways creates the risk of single point bottlenecks, including potential evasion through cross-chain bridges, privacy pools, and cross border settlement services that are outside the reach of domestic supervision.</w:t>
      </w:r>
    </w:p>
    <w:p w14:paraId="1941B6AB" w14:textId="15BE7EEB" w:rsidR="002C4451" w:rsidRPr="002C4451" w:rsidRDefault="002C4451" w:rsidP="002C4451">
      <w:pPr>
        <w:spacing w:after="120"/>
        <w:jc w:val="both"/>
        <w:rPr>
          <w:rFonts w:ascii="Times New Roman" w:eastAsia="Times New Roman" w:hAnsi="Times New Roman" w:cs="Times New Roman"/>
          <w:bCs/>
          <w:sz w:val="24"/>
          <w:szCs w:val="24"/>
          <w:lang w:val="en-GB"/>
        </w:rPr>
      </w:pPr>
      <w:r w:rsidRPr="002C4451">
        <w:rPr>
          <w:rFonts w:ascii="Times New Roman" w:eastAsia="Times New Roman" w:hAnsi="Times New Roman" w:cs="Times New Roman"/>
          <w:bCs/>
          <w:sz w:val="24"/>
          <w:szCs w:val="24"/>
          <w:lang w:val="en-GB"/>
        </w:rPr>
        <w:t xml:space="preserve">From a </w:t>
      </w:r>
      <w:proofErr w:type="spellStart"/>
      <w:r w:rsidRPr="002C4451">
        <w:rPr>
          <w:rFonts w:ascii="Times New Roman" w:eastAsia="Times New Roman" w:hAnsi="Times New Roman" w:cs="Times New Roman"/>
          <w:bCs/>
          <w:sz w:val="24"/>
          <w:szCs w:val="24"/>
          <w:lang w:val="en-GB"/>
        </w:rPr>
        <w:t>behavioral</w:t>
      </w:r>
      <w:proofErr w:type="spellEnd"/>
      <w:r w:rsidRPr="002C4451">
        <w:rPr>
          <w:rFonts w:ascii="Times New Roman" w:eastAsia="Times New Roman" w:hAnsi="Times New Roman" w:cs="Times New Roman"/>
          <w:bCs/>
          <w:sz w:val="24"/>
          <w:szCs w:val="24"/>
          <w:lang w:val="en-GB"/>
        </w:rPr>
        <w:t xml:space="preserve"> perspective, the cost and opportunity structure on DEXs creates a differential in after-tax outcomes compared with CEXs. Because there is no upfront withholding, the net proceeds of DEX transactions appear higher, especially when the risk of sanctions is judged small due to a low probability of detection. Dynamically, </w:t>
      </w:r>
      <w:r w:rsidR="00131E68" w:rsidRPr="002C4451">
        <w:rPr>
          <w:rFonts w:ascii="Times New Roman" w:eastAsia="Times New Roman" w:hAnsi="Times New Roman" w:cs="Times New Roman"/>
          <w:bCs/>
          <w:sz w:val="24"/>
          <w:szCs w:val="24"/>
          <w:lang w:val="en-GB"/>
        </w:rPr>
        <w:t>these differential drives</w:t>
      </w:r>
      <w:r w:rsidRPr="002C4451">
        <w:rPr>
          <w:rFonts w:ascii="Times New Roman" w:eastAsia="Times New Roman" w:hAnsi="Times New Roman" w:cs="Times New Roman"/>
          <w:bCs/>
          <w:sz w:val="24"/>
          <w:szCs w:val="24"/>
          <w:lang w:val="en-GB"/>
        </w:rPr>
        <w:t xml:space="preserve"> </w:t>
      </w:r>
      <w:proofErr w:type="spellStart"/>
      <w:r w:rsidRPr="002C4451">
        <w:rPr>
          <w:rFonts w:ascii="Times New Roman" w:eastAsia="Times New Roman" w:hAnsi="Times New Roman" w:cs="Times New Roman"/>
          <w:bCs/>
          <w:sz w:val="24"/>
          <w:szCs w:val="24"/>
          <w:lang w:val="en-GB"/>
        </w:rPr>
        <w:t>behavioral</w:t>
      </w:r>
      <w:proofErr w:type="spellEnd"/>
      <w:r w:rsidRPr="002C4451">
        <w:rPr>
          <w:rFonts w:ascii="Times New Roman" w:eastAsia="Times New Roman" w:hAnsi="Times New Roman" w:cs="Times New Roman"/>
          <w:bCs/>
          <w:sz w:val="24"/>
          <w:szCs w:val="24"/>
          <w:lang w:val="en-GB"/>
        </w:rPr>
        <w:t xml:space="preserve"> substitution that enlarges the DEX share until the marginal after-tax benefit is balanced by implicit costs such as gas fees, execution risk, or smart-contract risk. When policy does not address this differential at its source, tariff or sanction parameters on CEXs become less meaningful for the ecosystem as a whole, because actors’ decisions are determined by the comparison of net outcomes across channels, not by nominal rates alone.</w:t>
      </w:r>
    </w:p>
    <w:p w14:paraId="0E12217F" w14:textId="2AB34078" w:rsidR="00BB17A0" w:rsidRPr="002C4451" w:rsidRDefault="00BB17A0" w:rsidP="008A05B7">
      <w:pPr>
        <w:spacing w:after="120"/>
        <w:jc w:val="both"/>
        <w:rPr>
          <w:rFonts w:ascii="Times New Roman" w:eastAsia="Times New Roman" w:hAnsi="Times New Roman" w:cs="Times New Roman"/>
          <w:bCs/>
          <w:sz w:val="24"/>
          <w:szCs w:val="24"/>
          <w:lang w:val="en-GB"/>
        </w:rPr>
      </w:pPr>
    </w:p>
    <w:p w14:paraId="325D9E8E" w14:textId="77777777" w:rsidR="002C4451" w:rsidRPr="002C4451" w:rsidRDefault="002C4451" w:rsidP="002C4451">
      <w:pPr>
        <w:spacing w:after="120"/>
        <w:jc w:val="both"/>
        <w:rPr>
          <w:rFonts w:ascii="Times New Roman" w:eastAsia="Times New Roman" w:hAnsi="Times New Roman" w:cs="Times New Roman"/>
          <w:bCs/>
          <w:sz w:val="24"/>
          <w:szCs w:val="24"/>
          <w:lang w:val="en-GB"/>
        </w:rPr>
      </w:pPr>
      <w:r w:rsidRPr="002C4451">
        <w:rPr>
          <w:rFonts w:ascii="Times New Roman" w:eastAsia="Times New Roman" w:hAnsi="Times New Roman" w:cs="Times New Roman"/>
          <w:bCs/>
          <w:sz w:val="24"/>
          <w:szCs w:val="24"/>
          <w:lang w:val="en-GB"/>
        </w:rPr>
        <w:t>Further limitations involve the risks of regulatory arbitrage and forum shopping. Because DEXs operate across jurisdictions, actors can switch access to different interfaces, use non-custodial wallets, or rely on minimal intermediaries. In this context, a cross-border framework for appointing tax collectors will tend to lock in revenue from already-compliant actors or from large entities that interact with the traditional financial system. The hardest-to-reach tax base remains the segment that is purely protocol-based and purely on-chain. Without cross-country data-exchange mechanisms and without aligned crypto-asset reporting standards, the enforcement perimeter will always lag technical innovations that lower the cost of shifting activity beyond national reach.</w:t>
      </w:r>
    </w:p>
    <w:p w14:paraId="4C9887B9" w14:textId="77777777" w:rsidR="002C4451" w:rsidRPr="002C4451" w:rsidRDefault="002C4451" w:rsidP="002C4451">
      <w:pPr>
        <w:spacing w:after="120"/>
        <w:jc w:val="both"/>
        <w:rPr>
          <w:rFonts w:ascii="Times New Roman" w:eastAsia="Times New Roman" w:hAnsi="Times New Roman" w:cs="Times New Roman"/>
          <w:bCs/>
          <w:sz w:val="24"/>
          <w:szCs w:val="24"/>
          <w:lang w:val="en-GB"/>
        </w:rPr>
      </w:pPr>
      <w:r w:rsidRPr="002C4451">
        <w:rPr>
          <w:rFonts w:ascii="Times New Roman" w:eastAsia="Times New Roman" w:hAnsi="Times New Roman" w:cs="Times New Roman"/>
          <w:bCs/>
          <w:sz w:val="24"/>
          <w:szCs w:val="24"/>
          <w:lang w:val="en-GB"/>
        </w:rPr>
        <w:t>This analysis implies the need to shift from entity-based collection toward compliance by design at the protocol level. The principle proposes that tax logic be built into the architecture of transactions, not merely attached to intermediaries. Implementation could take the form of protocol-level withholding for certain transaction types, reporting oracles that transmit meta-information to the tax authority, or verified-membership schemes that grant access to compliant liquidity pools. However, technical deployment requires institutional prerequisites, such as data governance; clear definitions of the tax object and taxable event in an on-chain context; and identity-interoperability standards that safeguard personal-data protection.</w:t>
      </w:r>
    </w:p>
    <w:p w14:paraId="129BB1C1" w14:textId="77777777" w:rsidR="002C4451" w:rsidRPr="002C4451" w:rsidRDefault="002C4451" w:rsidP="002C4451">
      <w:pPr>
        <w:spacing w:after="120"/>
        <w:jc w:val="both"/>
        <w:rPr>
          <w:rFonts w:ascii="Times New Roman" w:eastAsia="Times New Roman" w:hAnsi="Times New Roman" w:cs="Times New Roman"/>
          <w:bCs/>
          <w:sz w:val="24"/>
          <w:szCs w:val="24"/>
          <w:lang w:val="en-GB"/>
        </w:rPr>
      </w:pPr>
      <w:r w:rsidRPr="002C4451">
        <w:rPr>
          <w:rFonts w:ascii="Times New Roman" w:eastAsia="Times New Roman" w:hAnsi="Times New Roman" w:cs="Times New Roman"/>
          <w:bCs/>
          <w:sz w:val="24"/>
          <w:szCs w:val="24"/>
          <w:lang w:val="en-GB"/>
        </w:rPr>
        <w:t>Accordingly, the structural limitations of PMK 50/2025 are not merely a matter of insufficient coverage of DEXs, but a misalignment of design levels between policy that is entity-based and a market that is protocol-based. Effective policy needs to reconfigure enforcement levers. First, expand obligations at on-ramps and off-ramps to compel reporting of flow patterns to wallets associated with domestic tax residency. Second, develop on-chain analytics to convert ledger transparency into actionable fiscal transparency. Third, integrate international reporting standards so that cross-jurisdiction attribution does not depend on the goodwill of actors or single entities. Fourth, conduct policy experiments through a regulatory sandbox to test the feasibility of regulated DeFi schemes and protocol-integrated reporting for lower-risk assets such as selected stablecoins.</w:t>
      </w:r>
    </w:p>
    <w:p w14:paraId="79FF0204" w14:textId="77777777" w:rsidR="002C4451" w:rsidRPr="002C4451" w:rsidRDefault="002C4451" w:rsidP="002C4451">
      <w:pPr>
        <w:spacing w:after="120"/>
        <w:jc w:val="both"/>
        <w:rPr>
          <w:rFonts w:ascii="Times New Roman" w:eastAsia="Times New Roman" w:hAnsi="Times New Roman" w:cs="Times New Roman"/>
          <w:bCs/>
          <w:sz w:val="24"/>
          <w:szCs w:val="24"/>
          <w:lang w:val="en-GB"/>
        </w:rPr>
      </w:pPr>
      <w:r w:rsidRPr="002C4451">
        <w:rPr>
          <w:rFonts w:ascii="Times New Roman" w:eastAsia="Times New Roman" w:hAnsi="Times New Roman" w:cs="Times New Roman"/>
          <w:bCs/>
          <w:sz w:val="24"/>
          <w:szCs w:val="24"/>
          <w:lang w:val="en-GB"/>
        </w:rPr>
        <w:t>Overall, a critical evaluation of the gatekeeping assumption in PMK 50/2025 shows that administrative success on CEXs does not automatically translate into substantive effectiveness in an ecosystem increasingly dominated by protocols. To make crypto tax policy resilient, the state needs to shift focus from entities to architecture, from documentation to data, and from reactive collection to embedded compliance. Without this shift, policy will continue to produce apparent compliance while failing to reach the material tax base in on-chain space.</w:t>
      </w:r>
    </w:p>
    <w:p w14:paraId="64F81FDE" w14:textId="77777777" w:rsidR="002C4451" w:rsidRPr="002C4451" w:rsidRDefault="002C4451" w:rsidP="002C4451">
      <w:pPr>
        <w:spacing w:after="120"/>
        <w:jc w:val="both"/>
        <w:rPr>
          <w:rFonts w:ascii="Times New Roman" w:eastAsia="Times New Roman" w:hAnsi="Times New Roman" w:cs="Times New Roman"/>
          <w:sz w:val="24"/>
          <w:szCs w:val="24"/>
          <w:lang w:val="en-GB"/>
        </w:rPr>
      </w:pPr>
    </w:p>
    <w:p w14:paraId="46FD498A" w14:textId="77777777" w:rsidR="002C4451" w:rsidRPr="002C4451" w:rsidRDefault="002C4451" w:rsidP="002C4451">
      <w:pPr>
        <w:spacing w:after="120"/>
        <w:jc w:val="both"/>
        <w:rPr>
          <w:rFonts w:ascii="Times New Roman" w:eastAsia="Times New Roman" w:hAnsi="Times New Roman" w:cs="Times New Roman"/>
          <w:sz w:val="24"/>
          <w:szCs w:val="24"/>
          <w:lang w:val="en-GB"/>
        </w:rPr>
      </w:pPr>
      <w:r w:rsidRPr="002C4451">
        <w:rPr>
          <w:rFonts w:ascii="Times New Roman" w:eastAsia="Times New Roman" w:hAnsi="Times New Roman" w:cs="Times New Roman"/>
          <w:b/>
          <w:bCs/>
          <w:sz w:val="24"/>
          <w:szCs w:val="24"/>
          <w:lang w:val="en-GB"/>
        </w:rPr>
        <w:t>Tax Fairness Perspective</w:t>
      </w:r>
    </w:p>
    <w:p w14:paraId="7DFB1729" w14:textId="77777777" w:rsidR="002C4451" w:rsidRPr="002C4451" w:rsidRDefault="002C4451" w:rsidP="002C4451">
      <w:pPr>
        <w:spacing w:after="120"/>
        <w:jc w:val="both"/>
        <w:rPr>
          <w:rFonts w:ascii="Times New Roman" w:eastAsia="Times New Roman" w:hAnsi="Times New Roman" w:cs="Times New Roman"/>
          <w:sz w:val="24"/>
          <w:szCs w:val="24"/>
          <w:lang w:val="en-GB"/>
        </w:rPr>
      </w:pPr>
      <w:r w:rsidRPr="002C4451">
        <w:rPr>
          <w:rFonts w:ascii="Times New Roman" w:eastAsia="Times New Roman" w:hAnsi="Times New Roman" w:cs="Times New Roman"/>
          <w:sz w:val="24"/>
          <w:szCs w:val="24"/>
          <w:lang w:val="en-GB"/>
        </w:rPr>
        <w:t xml:space="preserve">The gap between tax treatment of transactions on CEXs and on DEXs affects not only state revenue, but also raises fundamental issues of tax fairness and the legitimacy of the tax system in the digital era. The principle of horizontal equity holds that two taxpayers with the same economic capacity should bear an equal tax burden (Musgrave &amp; Musgrave, 1989). In this context, inequality </w:t>
      </w:r>
      <w:r w:rsidRPr="002C4451">
        <w:rPr>
          <w:rFonts w:ascii="Times New Roman" w:eastAsia="Times New Roman" w:hAnsi="Times New Roman" w:cs="Times New Roman"/>
          <w:sz w:val="24"/>
          <w:szCs w:val="24"/>
          <w:lang w:val="en-GB"/>
        </w:rPr>
        <w:lastRenderedPageBreak/>
        <w:t xml:space="preserve">is evident. An investor who earns a capital gain of IDR 100 million on a CEX must pay a final income tax of 0.21 percent, or IDR 210 thousand, while another investor with the same gain on a DEX pays nothing because there is no withholding mechanism. This difference creates </w:t>
      </w:r>
      <w:proofErr w:type="spellStart"/>
      <w:r w:rsidRPr="002C4451">
        <w:rPr>
          <w:rFonts w:ascii="Times New Roman" w:eastAsia="Times New Roman" w:hAnsi="Times New Roman" w:cs="Times New Roman"/>
          <w:sz w:val="24"/>
          <w:szCs w:val="24"/>
          <w:lang w:val="en-GB"/>
        </w:rPr>
        <w:t>behavioral</w:t>
      </w:r>
      <w:proofErr w:type="spellEnd"/>
      <w:r w:rsidRPr="002C4451">
        <w:rPr>
          <w:rFonts w:ascii="Times New Roman" w:eastAsia="Times New Roman" w:hAnsi="Times New Roman" w:cs="Times New Roman"/>
          <w:sz w:val="24"/>
          <w:szCs w:val="24"/>
          <w:lang w:val="en-GB"/>
        </w:rPr>
        <w:t xml:space="preserve"> distortion, as market participants shift to DEXs to avoid tax. This phenomenon is known as </w:t>
      </w:r>
      <w:proofErr w:type="spellStart"/>
      <w:r w:rsidRPr="002C4451">
        <w:rPr>
          <w:rFonts w:ascii="Times New Roman" w:eastAsia="Times New Roman" w:hAnsi="Times New Roman" w:cs="Times New Roman"/>
          <w:sz w:val="24"/>
          <w:szCs w:val="24"/>
          <w:lang w:val="en-GB"/>
        </w:rPr>
        <w:t>behavioral</w:t>
      </w:r>
      <w:proofErr w:type="spellEnd"/>
      <w:r w:rsidRPr="002C4451">
        <w:rPr>
          <w:rFonts w:ascii="Times New Roman" w:eastAsia="Times New Roman" w:hAnsi="Times New Roman" w:cs="Times New Roman"/>
          <w:sz w:val="24"/>
          <w:szCs w:val="24"/>
          <w:lang w:val="en-GB"/>
        </w:rPr>
        <w:t xml:space="preserve"> substitution, namely the shift in taxpayer </w:t>
      </w:r>
      <w:proofErr w:type="spellStart"/>
      <w:r w:rsidRPr="002C4451">
        <w:rPr>
          <w:rFonts w:ascii="Times New Roman" w:eastAsia="Times New Roman" w:hAnsi="Times New Roman" w:cs="Times New Roman"/>
          <w:sz w:val="24"/>
          <w:szCs w:val="24"/>
          <w:lang w:val="en-GB"/>
        </w:rPr>
        <w:t>behavior</w:t>
      </w:r>
      <w:proofErr w:type="spellEnd"/>
      <w:r w:rsidRPr="002C4451">
        <w:rPr>
          <w:rFonts w:ascii="Times New Roman" w:eastAsia="Times New Roman" w:hAnsi="Times New Roman" w:cs="Times New Roman"/>
          <w:sz w:val="24"/>
          <w:szCs w:val="24"/>
          <w:lang w:val="en-GB"/>
        </w:rPr>
        <w:t xml:space="preserve"> due to differences in fiscal incentives across channels (Torgler, 2007).</w:t>
      </w:r>
    </w:p>
    <w:p w14:paraId="24B46C8B" w14:textId="77777777" w:rsidR="002C4451" w:rsidRPr="002C4451" w:rsidRDefault="002C4451" w:rsidP="002C4451">
      <w:pPr>
        <w:spacing w:after="120"/>
        <w:jc w:val="both"/>
        <w:rPr>
          <w:rFonts w:ascii="Times New Roman" w:eastAsia="Times New Roman" w:hAnsi="Times New Roman" w:cs="Times New Roman"/>
          <w:sz w:val="24"/>
          <w:szCs w:val="24"/>
          <w:lang w:val="en-GB"/>
        </w:rPr>
      </w:pPr>
      <w:r w:rsidRPr="002C4451">
        <w:rPr>
          <w:rFonts w:ascii="Times New Roman" w:eastAsia="Times New Roman" w:hAnsi="Times New Roman" w:cs="Times New Roman"/>
          <w:sz w:val="24"/>
          <w:szCs w:val="24"/>
          <w:lang w:val="en-GB"/>
        </w:rPr>
        <w:t xml:space="preserve">The implications of this inequality are not only fiscal but also social. When the tax system is perceived as unfair because it </w:t>
      </w:r>
      <w:proofErr w:type="spellStart"/>
      <w:r w:rsidRPr="002C4451">
        <w:rPr>
          <w:rFonts w:ascii="Times New Roman" w:eastAsia="Times New Roman" w:hAnsi="Times New Roman" w:cs="Times New Roman"/>
          <w:sz w:val="24"/>
          <w:szCs w:val="24"/>
          <w:lang w:val="en-GB"/>
        </w:rPr>
        <w:t>favors</w:t>
      </w:r>
      <w:proofErr w:type="spellEnd"/>
      <w:r w:rsidRPr="002C4451">
        <w:rPr>
          <w:rFonts w:ascii="Times New Roman" w:eastAsia="Times New Roman" w:hAnsi="Times New Roman" w:cs="Times New Roman"/>
          <w:sz w:val="24"/>
          <w:szCs w:val="24"/>
          <w:lang w:val="en-GB"/>
        </w:rPr>
        <w:t xml:space="preserve"> groups able to exploit technology, voluntary compliance tends to decline. </w:t>
      </w:r>
      <w:proofErr w:type="spellStart"/>
      <w:r w:rsidRPr="002C4451">
        <w:rPr>
          <w:rFonts w:ascii="Times New Roman" w:eastAsia="Times New Roman" w:hAnsi="Times New Roman" w:cs="Times New Roman"/>
          <w:sz w:val="24"/>
          <w:szCs w:val="24"/>
          <w:lang w:val="en-GB"/>
        </w:rPr>
        <w:t>Kirchler</w:t>
      </w:r>
      <w:proofErr w:type="spellEnd"/>
      <w:r w:rsidRPr="002C4451">
        <w:rPr>
          <w:rFonts w:ascii="Times New Roman" w:eastAsia="Times New Roman" w:hAnsi="Times New Roman" w:cs="Times New Roman"/>
          <w:sz w:val="24"/>
          <w:szCs w:val="24"/>
          <w:lang w:val="en-GB"/>
        </w:rPr>
        <w:t xml:space="preserve"> (2007) finds that perceptions of fairness are directly linked to tax morale and tax compliance. In the crypto context, the disparity between CEXs and DEXs widens the gap between the “visible” and the “unseen.” Investors on CEXs face automatic withholding and digital oversight, while DEX users enjoy the same gains without fiscal contribution. This condition can undermine the legitimacy of the tax system because the public perceives compliance as applying only to those who can be reached, not to all digital-economy actors earning similar income.</w:t>
      </w:r>
    </w:p>
    <w:p w14:paraId="38B4D2A9" w14:textId="77777777" w:rsidR="002C4451" w:rsidRPr="002C4451" w:rsidRDefault="002C4451" w:rsidP="002C4451">
      <w:pPr>
        <w:spacing w:after="120"/>
        <w:jc w:val="both"/>
        <w:rPr>
          <w:rFonts w:ascii="Times New Roman" w:eastAsia="Times New Roman" w:hAnsi="Times New Roman" w:cs="Times New Roman"/>
          <w:sz w:val="24"/>
          <w:szCs w:val="24"/>
          <w:lang w:val="en-GB"/>
        </w:rPr>
      </w:pPr>
      <w:r w:rsidRPr="002C4451">
        <w:rPr>
          <w:rFonts w:ascii="Times New Roman" w:eastAsia="Times New Roman" w:hAnsi="Times New Roman" w:cs="Times New Roman"/>
          <w:sz w:val="24"/>
          <w:szCs w:val="24"/>
          <w:lang w:val="en-GB"/>
        </w:rPr>
        <w:t>This fairness problem cannot be separated from differences in technological paradigms and regulatory structures. PMK 50/2025 operates in the off-chain realm, where transactions pass through legal entities such as exchanges that are subject to audits, reporting, and administrative obligations. DEXs, meanwhile, operate wholly on-chain, on public blockchain networks that are transparent, automated, and lack centralized operators. Blockchain transparency does not automatically produce fiscal visibility: even though transaction data are open, the economic identity is hidden behind pseudonymity. This creates a transparency paradox: blockchain transactions are easy to observe but hard to link to specific taxpayers (</w:t>
      </w:r>
      <w:proofErr w:type="spellStart"/>
      <w:r w:rsidRPr="002C4451">
        <w:rPr>
          <w:rFonts w:ascii="Times New Roman" w:eastAsia="Times New Roman" w:hAnsi="Times New Roman" w:cs="Times New Roman"/>
          <w:sz w:val="24"/>
          <w:szCs w:val="24"/>
          <w:lang w:val="en-GB"/>
        </w:rPr>
        <w:t>Zetzsche</w:t>
      </w:r>
      <w:proofErr w:type="spellEnd"/>
      <w:r w:rsidRPr="002C4451">
        <w:rPr>
          <w:rFonts w:ascii="Times New Roman" w:eastAsia="Times New Roman" w:hAnsi="Times New Roman" w:cs="Times New Roman"/>
          <w:sz w:val="24"/>
          <w:szCs w:val="24"/>
          <w:lang w:val="en-GB"/>
        </w:rPr>
        <w:t xml:space="preserve"> et al., 2020). As a result, the tax authority loses the ability to link public on-chain data with real-world ownership information without additional technology.</w:t>
      </w:r>
    </w:p>
    <w:p w14:paraId="0C025FC9" w14:textId="77777777" w:rsidR="002C4451" w:rsidRPr="002C4451" w:rsidRDefault="002C4451" w:rsidP="002C4451">
      <w:pPr>
        <w:spacing w:after="120"/>
        <w:jc w:val="both"/>
        <w:rPr>
          <w:rFonts w:ascii="Times New Roman" w:eastAsia="Times New Roman" w:hAnsi="Times New Roman" w:cs="Times New Roman"/>
          <w:sz w:val="24"/>
          <w:szCs w:val="24"/>
          <w:lang w:val="en-GB"/>
        </w:rPr>
      </w:pPr>
      <w:r w:rsidRPr="002C4451">
        <w:rPr>
          <w:rFonts w:ascii="Times New Roman" w:eastAsia="Times New Roman" w:hAnsi="Times New Roman" w:cs="Times New Roman"/>
          <w:sz w:val="24"/>
          <w:szCs w:val="24"/>
          <w:lang w:val="en-GB"/>
        </w:rPr>
        <w:t xml:space="preserve">In this context, Indonesia needs to reorient crypto tax policy from entity-based to data- and </w:t>
      </w:r>
      <w:proofErr w:type="spellStart"/>
      <w:r w:rsidRPr="002C4451">
        <w:rPr>
          <w:rFonts w:ascii="Times New Roman" w:eastAsia="Times New Roman" w:hAnsi="Times New Roman" w:cs="Times New Roman"/>
          <w:sz w:val="24"/>
          <w:szCs w:val="24"/>
          <w:lang w:val="en-GB"/>
        </w:rPr>
        <w:t>behavior</w:t>
      </w:r>
      <w:proofErr w:type="spellEnd"/>
      <w:r w:rsidRPr="002C4451">
        <w:rPr>
          <w:rFonts w:ascii="Times New Roman" w:eastAsia="Times New Roman" w:hAnsi="Times New Roman" w:cs="Times New Roman"/>
          <w:sz w:val="24"/>
          <w:szCs w:val="24"/>
          <w:lang w:val="en-GB"/>
        </w:rPr>
        <w:t>-based. PMK 50/2025 succeeds in providing fiscal certainty on CEXs, but only within a narrow space. To broaden its effectiveness, policy should be directed toward improving the ability to detect, trace, and link on-chain transactions to domestic taxpayers. This approach is not merely about tightening sanctions, but about building a supervisory architecture that matches the architecture of the digital market.</w:t>
      </w:r>
    </w:p>
    <w:p w14:paraId="50066A2D" w14:textId="77777777" w:rsidR="00CF3ADB" w:rsidRPr="00CF3ADB" w:rsidRDefault="00CF3ADB" w:rsidP="00CF3ADB">
      <w:pPr>
        <w:spacing w:after="120"/>
        <w:jc w:val="both"/>
        <w:rPr>
          <w:rFonts w:ascii="Times New Roman" w:eastAsia="Times New Roman" w:hAnsi="Times New Roman" w:cs="Times New Roman"/>
          <w:sz w:val="24"/>
          <w:szCs w:val="24"/>
          <w:lang w:val="en-GB"/>
        </w:rPr>
      </w:pPr>
      <w:r w:rsidRPr="00CF3ADB">
        <w:rPr>
          <w:rFonts w:ascii="Times New Roman" w:eastAsia="Times New Roman" w:hAnsi="Times New Roman" w:cs="Times New Roman"/>
          <w:sz w:val="24"/>
          <w:szCs w:val="24"/>
          <w:lang w:val="en-GB"/>
        </w:rPr>
        <w:t>The first step is to integrate blockchain forensics into the national tax administration system. Although DEX transactions are pseudonymous, technologies such as wallet clustering and transaction pattern analysis can be used to trace user identities (</w:t>
      </w:r>
      <w:proofErr w:type="spellStart"/>
      <w:r w:rsidRPr="00CF3ADB">
        <w:rPr>
          <w:rFonts w:ascii="Times New Roman" w:eastAsia="Times New Roman" w:hAnsi="Times New Roman" w:cs="Times New Roman"/>
          <w:sz w:val="24"/>
          <w:szCs w:val="24"/>
          <w:lang w:val="en-GB"/>
        </w:rPr>
        <w:t>Chainalysis</w:t>
      </w:r>
      <w:proofErr w:type="spellEnd"/>
      <w:r w:rsidRPr="00CF3ADB">
        <w:rPr>
          <w:rFonts w:ascii="Times New Roman" w:eastAsia="Times New Roman" w:hAnsi="Times New Roman" w:cs="Times New Roman"/>
          <w:sz w:val="24"/>
          <w:szCs w:val="24"/>
          <w:lang w:val="en-GB"/>
        </w:rPr>
        <w:t xml:space="preserve">, 2023). Companies like </w:t>
      </w:r>
      <w:proofErr w:type="spellStart"/>
      <w:r w:rsidRPr="00CF3ADB">
        <w:rPr>
          <w:rFonts w:ascii="Times New Roman" w:eastAsia="Times New Roman" w:hAnsi="Times New Roman" w:cs="Times New Roman"/>
          <w:sz w:val="24"/>
          <w:szCs w:val="24"/>
          <w:lang w:val="en-GB"/>
        </w:rPr>
        <w:t>Chainalysis</w:t>
      </w:r>
      <w:proofErr w:type="spellEnd"/>
      <w:r w:rsidRPr="00CF3ADB">
        <w:rPr>
          <w:rFonts w:ascii="Times New Roman" w:eastAsia="Times New Roman" w:hAnsi="Times New Roman" w:cs="Times New Roman"/>
          <w:sz w:val="24"/>
          <w:szCs w:val="24"/>
          <w:lang w:val="en-GB"/>
        </w:rPr>
        <w:t xml:space="preserve">, Elliptic, and </w:t>
      </w:r>
      <w:proofErr w:type="spellStart"/>
      <w:r w:rsidRPr="00CF3ADB">
        <w:rPr>
          <w:rFonts w:ascii="Times New Roman" w:eastAsia="Times New Roman" w:hAnsi="Times New Roman" w:cs="Times New Roman"/>
          <w:sz w:val="24"/>
          <w:szCs w:val="24"/>
          <w:lang w:val="en-GB"/>
        </w:rPr>
        <w:t>CipherTrace</w:t>
      </w:r>
      <w:proofErr w:type="spellEnd"/>
      <w:r w:rsidRPr="00CF3ADB">
        <w:rPr>
          <w:rFonts w:ascii="Times New Roman" w:eastAsia="Times New Roman" w:hAnsi="Times New Roman" w:cs="Times New Roman"/>
          <w:sz w:val="24"/>
          <w:szCs w:val="24"/>
          <w:lang w:val="en-GB"/>
        </w:rPr>
        <w:t xml:space="preserve"> have shown that the weak points of decentralized systems often appear when users interact with CEXs, custodians, or fiat-gateway providers. The Directorate General of Taxes (DJP) could establish a Crypto Tax Intelligence Unit to manage on-chain data, leverage transaction-tracing algorithms, and integrate them into the </w:t>
      </w:r>
      <w:proofErr w:type="spellStart"/>
      <w:r w:rsidRPr="00CF3ADB">
        <w:rPr>
          <w:rFonts w:ascii="Times New Roman" w:eastAsia="Times New Roman" w:hAnsi="Times New Roman" w:cs="Times New Roman"/>
          <w:sz w:val="24"/>
          <w:szCs w:val="24"/>
          <w:lang w:val="en-GB"/>
        </w:rPr>
        <w:t>Coretax</w:t>
      </w:r>
      <w:proofErr w:type="spellEnd"/>
      <w:r w:rsidRPr="00CF3ADB">
        <w:rPr>
          <w:rFonts w:ascii="Times New Roman" w:eastAsia="Times New Roman" w:hAnsi="Times New Roman" w:cs="Times New Roman"/>
          <w:sz w:val="24"/>
          <w:szCs w:val="24"/>
          <w:lang w:val="en-GB"/>
        </w:rPr>
        <w:t xml:space="preserve"> or PSIAP systems. This step not only increases the probability of detection but also strengthens deterrence </w:t>
      </w:r>
      <w:r w:rsidRPr="00CF3ADB">
        <w:rPr>
          <w:rFonts w:ascii="Times New Roman" w:eastAsia="Times New Roman" w:hAnsi="Times New Roman" w:cs="Times New Roman"/>
          <w:sz w:val="24"/>
          <w:szCs w:val="24"/>
          <w:lang w:val="en-GB"/>
        </w:rPr>
        <w:lastRenderedPageBreak/>
        <w:t>effects, as explained by Allingham &amp; Sandmo (1972) in deterrence theory: tax compliance rises when the probability of detection and the level of sanctions are sufficiently high.</w:t>
      </w:r>
    </w:p>
    <w:p w14:paraId="2124225B" w14:textId="77777777" w:rsidR="00CF3ADB" w:rsidRPr="00CF3ADB" w:rsidRDefault="00CF3ADB" w:rsidP="00CF3ADB">
      <w:pPr>
        <w:spacing w:after="120"/>
        <w:jc w:val="both"/>
        <w:rPr>
          <w:rFonts w:ascii="Times New Roman" w:eastAsia="Times New Roman" w:hAnsi="Times New Roman" w:cs="Times New Roman"/>
          <w:sz w:val="24"/>
          <w:szCs w:val="24"/>
          <w:lang w:val="en-GB"/>
        </w:rPr>
      </w:pPr>
      <w:r w:rsidRPr="00CF3ADB">
        <w:rPr>
          <w:rFonts w:ascii="Times New Roman" w:eastAsia="Times New Roman" w:hAnsi="Times New Roman" w:cs="Times New Roman"/>
          <w:sz w:val="24"/>
          <w:szCs w:val="24"/>
          <w:lang w:val="en-GB"/>
        </w:rPr>
        <w:t>Beyond technology, international cooperation is a key element to close jurisdictional gaps. OECD/CARF has introduced a standard for cross-border exchange of crypto-asset tax information among countries (OECD, 2022), similar to the Common Reporting Standard (CRS) for bank accounts. Indonesia needs to adopt this framework promptly to access cross-border data, especially from DeFi hubs such as Singapore and the European Union. Meanwhile, the FATF Travel Rule requires the exchange of user-identity information in cross-border crypto transactions (FATF, 2023). Firm implementation of these provisions will strengthen the bridge between on-chain activity and the national tax system. Without international cooperation, Indonesia risks facing jurisdictional arbitrage, in which taxpayers simply move transactions to looser jurisdictions to evade oversight.</w:t>
      </w:r>
    </w:p>
    <w:p w14:paraId="0246C704" w14:textId="77777777" w:rsidR="00CF3ADB" w:rsidRPr="00CF3ADB" w:rsidRDefault="00CF3ADB" w:rsidP="00CF3ADB">
      <w:pPr>
        <w:spacing w:after="120"/>
        <w:jc w:val="both"/>
        <w:rPr>
          <w:rFonts w:ascii="Times New Roman" w:eastAsia="Times New Roman" w:hAnsi="Times New Roman" w:cs="Times New Roman"/>
          <w:sz w:val="24"/>
          <w:szCs w:val="24"/>
          <w:lang w:val="en-GB"/>
        </w:rPr>
      </w:pPr>
      <w:r w:rsidRPr="00CF3ADB">
        <w:rPr>
          <w:rFonts w:ascii="Times New Roman" w:eastAsia="Times New Roman" w:hAnsi="Times New Roman" w:cs="Times New Roman"/>
          <w:sz w:val="24"/>
          <w:szCs w:val="24"/>
          <w:lang w:val="en-GB"/>
        </w:rPr>
        <w:t>Ultimately, the challenge of tax fairness in the DeFi era is not only about rates, but about redefining fiscal authority in an ecosystem without a central authority. If the tax system remains rooted in twentieth-century administrative logic, the state will continue to lag behind twenty-first-century protocol-based economic innovation (Tapscott &amp; Tapscott, 2016). Fiscal fairness in the digital era requires a paradigm shift toward data-based supervision, cross-jurisdiction coordination, and compliance built through incentives rather than sanctions alone. With this strategy, Indonesia can strengthen the moral and social legitimacy of the tax system amid changes in the architecture of the global economy, ensuring that digital innovation does not become a means of tax avoidance but part of fiscal governance that is fair, transparent, and sustainable.</w:t>
      </w:r>
    </w:p>
    <w:p w14:paraId="151A4755" w14:textId="77777777" w:rsidR="00CF3ADB" w:rsidRDefault="00CF3ADB" w:rsidP="00CF3ADB">
      <w:pPr>
        <w:spacing w:after="120"/>
        <w:jc w:val="both"/>
        <w:rPr>
          <w:rFonts w:ascii="Times New Roman" w:eastAsia="Times New Roman" w:hAnsi="Times New Roman" w:cs="Times New Roman"/>
          <w:sz w:val="24"/>
          <w:szCs w:val="24"/>
          <w:lang w:val="en-GB"/>
        </w:rPr>
      </w:pPr>
    </w:p>
    <w:p w14:paraId="6D6564A4" w14:textId="0A7DBF23" w:rsidR="00CF3ADB" w:rsidRPr="00CF3ADB" w:rsidRDefault="00CF3ADB" w:rsidP="00CF3ADB">
      <w:pPr>
        <w:spacing w:after="120"/>
        <w:jc w:val="both"/>
        <w:rPr>
          <w:rFonts w:ascii="Times New Roman" w:eastAsia="Times New Roman" w:hAnsi="Times New Roman" w:cs="Times New Roman"/>
          <w:b/>
          <w:bCs/>
          <w:sz w:val="24"/>
          <w:szCs w:val="24"/>
          <w:lang w:val="en-GB"/>
        </w:rPr>
      </w:pPr>
      <w:r w:rsidRPr="00CF3ADB">
        <w:rPr>
          <w:rFonts w:ascii="Times New Roman" w:eastAsia="Times New Roman" w:hAnsi="Times New Roman" w:cs="Times New Roman"/>
          <w:b/>
          <w:bCs/>
          <w:sz w:val="24"/>
          <w:szCs w:val="24"/>
          <w:lang w:val="en-GB"/>
        </w:rPr>
        <w:t>Regulated DeFi Approach: From Decentralized Compliance toward Protocol-Based Fiscal Governance</w:t>
      </w:r>
    </w:p>
    <w:p w14:paraId="65D2CA1B" w14:textId="77777777" w:rsidR="00CF3ADB" w:rsidRPr="00CF3ADB" w:rsidRDefault="00CF3ADB" w:rsidP="00CF3ADB">
      <w:pPr>
        <w:spacing w:after="120"/>
        <w:jc w:val="both"/>
        <w:rPr>
          <w:rFonts w:ascii="Times New Roman" w:eastAsia="Times New Roman" w:hAnsi="Times New Roman" w:cs="Times New Roman"/>
          <w:sz w:val="24"/>
          <w:szCs w:val="24"/>
          <w:lang w:val="en-GB"/>
        </w:rPr>
      </w:pPr>
      <w:r w:rsidRPr="00CF3ADB">
        <w:rPr>
          <w:rFonts w:ascii="Times New Roman" w:eastAsia="Times New Roman" w:hAnsi="Times New Roman" w:cs="Times New Roman"/>
          <w:sz w:val="24"/>
          <w:szCs w:val="24"/>
          <w:lang w:val="en-GB"/>
        </w:rPr>
        <w:t>On the other hand, an outright ban on DEXs is unrealistic both technically and economically. DEX structures are permissionless and operate via smart contracts that run autonomously on public blockchains, so they are not subject to any single authority (</w:t>
      </w:r>
      <w:proofErr w:type="spellStart"/>
      <w:r w:rsidRPr="00CF3ADB">
        <w:rPr>
          <w:rFonts w:ascii="Times New Roman" w:eastAsia="Times New Roman" w:hAnsi="Times New Roman" w:cs="Times New Roman"/>
          <w:sz w:val="24"/>
          <w:szCs w:val="24"/>
          <w:lang w:val="en-GB"/>
        </w:rPr>
        <w:t>Schär</w:t>
      </w:r>
      <w:proofErr w:type="spellEnd"/>
      <w:r w:rsidRPr="00CF3ADB">
        <w:rPr>
          <w:rFonts w:ascii="Times New Roman" w:eastAsia="Times New Roman" w:hAnsi="Times New Roman" w:cs="Times New Roman"/>
          <w:sz w:val="24"/>
          <w:szCs w:val="24"/>
          <w:lang w:val="en-GB"/>
        </w:rPr>
        <w:t>, 2021). A more progressive and implementable strategy is to build the concept of Regulated DeFi—a decentralized financial ecosystem that has a compliance layer from the design stage, known as compliance by design. This approach starts from the paradigm that compliance no longer stems from administrative entities, but is integrated directly into protocol logic through code, oracles, and algorithms that connect digital transactions with fiscal obligations.</w:t>
      </w:r>
    </w:p>
    <w:p w14:paraId="62A0689D" w14:textId="77777777" w:rsidR="00CF3ADB" w:rsidRPr="00CF3ADB" w:rsidRDefault="00CF3ADB" w:rsidP="00CF3ADB">
      <w:pPr>
        <w:spacing w:after="120"/>
        <w:jc w:val="both"/>
        <w:rPr>
          <w:rFonts w:ascii="Times New Roman" w:eastAsia="Times New Roman" w:hAnsi="Times New Roman" w:cs="Times New Roman"/>
          <w:sz w:val="24"/>
          <w:szCs w:val="24"/>
          <w:lang w:val="en-GB"/>
        </w:rPr>
      </w:pPr>
      <w:r w:rsidRPr="00CF3ADB">
        <w:rPr>
          <w:rFonts w:ascii="Times New Roman" w:eastAsia="Times New Roman" w:hAnsi="Times New Roman" w:cs="Times New Roman"/>
          <w:sz w:val="24"/>
          <w:szCs w:val="24"/>
          <w:lang w:val="en-GB"/>
        </w:rPr>
        <w:t xml:space="preserve">The Regulated DeFi model has begun to be implemented in several advanced jurisdictions. The most notable example is </w:t>
      </w:r>
      <w:proofErr w:type="spellStart"/>
      <w:r w:rsidRPr="00CF3ADB">
        <w:rPr>
          <w:rFonts w:ascii="Times New Roman" w:eastAsia="Times New Roman" w:hAnsi="Times New Roman" w:cs="Times New Roman"/>
          <w:sz w:val="24"/>
          <w:szCs w:val="24"/>
          <w:lang w:val="en-GB"/>
        </w:rPr>
        <w:t>Aave</w:t>
      </w:r>
      <w:proofErr w:type="spellEnd"/>
      <w:r w:rsidRPr="00CF3ADB">
        <w:rPr>
          <w:rFonts w:ascii="Times New Roman" w:eastAsia="Times New Roman" w:hAnsi="Times New Roman" w:cs="Times New Roman"/>
          <w:sz w:val="24"/>
          <w:szCs w:val="24"/>
          <w:lang w:val="en-GB"/>
        </w:rPr>
        <w:t xml:space="preserve"> Arc, a variant of the </w:t>
      </w:r>
      <w:proofErr w:type="spellStart"/>
      <w:r w:rsidRPr="00CF3ADB">
        <w:rPr>
          <w:rFonts w:ascii="Times New Roman" w:eastAsia="Times New Roman" w:hAnsi="Times New Roman" w:cs="Times New Roman"/>
          <w:sz w:val="24"/>
          <w:szCs w:val="24"/>
          <w:lang w:val="en-GB"/>
        </w:rPr>
        <w:t>Aave</w:t>
      </w:r>
      <w:proofErr w:type="spellEnd"/>
      <w:r w:rsidRPr="00CF3ADB">
        <w:rPr>
          <w:rFonts w:ascii="Times New Roman" w:eastAsia="Times New Roman" w:hAnsi="Times New Roman" w:cs="Times New Roman"/>
          <w:sz w:val="24"/>
          <w:szCs w:val="24"/>
          <w:lang w:val="en-GB"/>
        </w:rPr>
        <w:t xml:space="preserve"> lending protocol designed specifically for financial institutions that have passed KYC and AML verification. This system allows verified entities to participate in DeFi while meeting applicable compliance requirements (</w:t>
      </w:r>
      <w:proofErr w:type="spellStart"/>
      <w:r w:rsidRPr="00CF3ADB">
        <w:rPr>
          <w:rFonts w:ascii="Times New Roman" w:eastAsia="Times New Roman" w:hAnsi="Times New Roman" w:cs="Times New Roman"/>
          <w:sz w:val="24"/>
          <w:szCs w:val="24"/>
          <w:lang w:val="en-GB"/>
        </w:rPr>
        <w:t>Aave</w:t>
      </w:r>
      <w:proofErr w:type="spellEnd"/>
      <w:r w:rsidRPr="00CF3ADB">
        <w:rPr>
          <w:rFonts w:ascii="Times New Roman" w:eastAsia="Times New Roman" w:hAnsi="Times New Roman" w:cs="Times New Roman"/>
          <w:sz w:val="24"/>
          <w:szCs w:val="24"/>
          <w:lang w:val="en-GB"/>
        </w:rPr>
        <w:t xml:space="preserve">, 2022). Another example is Compound Treasury, which operates a crypto-asset portfolio under the traditional U.S. legal framework with authorization from financial authorities (Compound, 2023). </w:t>
      </w:r>
      <w:r w:rsidRPr="00CF3ADB">
        <w:rPr>
          <w:rFonts w:ascii="Times New Roman" w:eastAsia="Times New Roman" w:hAnsi="Times New Roman" w:cs="Times New Roman"/>
          <w:sz w:val="24"/>
          <w:szCs w:val="24"/>
          <w:lang w:val="en-GB"/>
        </w:rPr>
        <w:lastRenderedPageBreak/>
        <w:t>These two examples show that DeFi is not necessarily at odds with regulation; rather, it can be reconciled through the technological embedding of compliance.</w:t>
      </w:r>
    </w:p>
    <w:p w14:paraId="6E3CA97A" w14:textId="77777777" w:rsidR="00CF3ADB" w:rsidRPr="00CF3ADB" w:rsidRDefault="00CF3ADB" w:rsidP="00CF3ADB">
      <w:pPr>
        <w:spacing w:after="120"/>
        <w:jc w:val="both"/>
        <w:rPr>
          <w:rFonts w:ascii="Times New Roman" w:eastAsia="Times New Roman" w:hAnsi="Times New Roman" w:cs="Times New Roman"/>
          <w:sz w:val="24"/>
          <w:szCs w:val="24"/>
          <w:lang w:val="en-GB"/>
        </w:rPr>
      </w:pPr>
      <w:r w:rsidRPr="00CF3ADB">
        <w:rPr>
          <w:rFonts w:ascii="Times New Roman" w:eastAsia="Times New Roman" w:hAnsi="Times New Roman" w:cs="Times New Roman"/>
          <w:sz w:val="24"/>
          <w:szCs w:val="24"/>
          <w:lang w:val="en-GB"/>
        </w:rPr>
        <w:t xml:space="preserve">For Indonesia, this approach can be contextualized through collaboration across authorities such as the OJK, the DJP, and local blockchain developers. Such collaboration can be directed toward building a national financial protocol based on automatic compliance, in which smart contracts are equipped with tax-reporting oracles that transmit relevant transaction data to the DJP or </w:t>
      </w:r>
      <w:proofErr w:type="spellStart"/>
      <w:r w:rsidRPr="00CF3ADB">
        <w:rPr>
          <w:rFonts w:ascii="Times New Roman" w:eastAsia="Times New Roman" w:hAnsi="Times New Roman" w:cs="Times New Roman"/>
          <w:sz w:val="24"/>
          <w:szCs w:val="24"/>
          <w:lang w:val="en-GB"/>
        </w:rPr>
        <w:t>Coretax</w:t>
      </w:r>
      <w:proofErr w:type="spellEnd"/>
      <w:r w:rsidRPr="00CF3ADB">
        <w:rPr>
          <w:rFonts w:ascii="Times New Roman" w:eastAsia="Times New Roman" w:hAnsi="Times New Roman" w:cs="Times New Roman"/>
          <w:sz w:val="24"/>
          <w:szCs w:val="24"/>
          <w:lang w:val="en-GB"/>
        </w:rPr>
        <w:t xml:space="preserve"> systems. Whenever a transfer of assets meets the criteria for a taxable object, the smart contract can calculate and route the tax withholding automatically to the state account. This design enables tax collection directly at the protocol level, not merely through exchange entities, thereby creating a </w:t>
      </w:r>
      <w:proofErr w:type="spellStart"/>
      <w:r w:rsidRPr="00CF3ADB">
        <w:rPr>
          <w:rFonts w:ascii="Times New Roman" w:eastAsia="Times New Roman" w:hAnsi="Times New Roman" w:cs="Times New Roman"/>
          <w:sz w:val="24"/>
          <w:szCs w:val="24"/>
          <w:lang w:val="en-GB"/>
        </w:rPr>
        <w:t>trustless</w:t>
      </w:r>
      <w:proofErr w:type="spellEnd"/>
      <w:r w:rsidRPr="00CF3ADB">
        <w:rPr>
          <w:rFonts w:ascii="Times New Roman" w:eastAsia="Times New Roman" w:hAnsi="Times New Roman" w:cs="Times New Roman"/>
          <w:sz w:val="24"/>
          <w:szCs w:val="24"/>
          <w:lang w:val="en-GB"/>
        </w:rPr>
        <w:t xml:space="preserve"> tax collection mechanism that is efficient and hard to evade.</w:t>
      </w:r>
    </w:p>
    <w:p w14:paraId="283EAD13" w14:textId="77777777" w:rsidR="00CF3ADB" w:rsidRPr="00CF3ADB" w:rsidRDefault="00CF3ADB" w:rsidP="00CF3ADB">
      <w:pPr>
        <w:spacing w:after="120"/>
        <w:jc w:val="both"/>
        <w:rPr>
          <w:rFonts w:ascii="Times New Roman" w:eastAsia="Times New Roman" w:hAnsi="Times New Roman" w:cs="Times New Roman"/>
          <w:sz w:val="24"/>
          <w:szCs w:val="24"/>
          <w:lang w:val="en-GB"/>
        </w:rPr>
      </w:pPr>
      <w:r w:rsidRPr="00CF3ADB">
        <w:rPr>
          <w:rFonts w:ascii="Times New Roman" w:eastAsia="Times New Roman" w:hAnsi="Times New Roman" w:cs="Times New Roman"/>
          <w:sz w:val="24"/>
          <w:szCs w:val="24"/>
          <w:lang w:val="en-GB"/>
        </w:rPr>
        <w:t>To accelerate adoption, the government can initiate a smart-contract-based tax regulatory sandbox that allows limited trials of automatic tax collection in a controlled environment. This sandbox can be arranged through cooperation among the DJP, Bank Indonesia, and the Commodity Futures Trading Regulatory Agency (</w:t>
      </w:r>
      <w:proofErr w:type="spellStart"/>
      <w:r w:rsidRPr="00CF3ADB">
        <w:rPr>
          <w:rFonts w:ascii="Times New Roman" w:eastAsia="Times New Roman" w:hAnsi="Times New Roman" w:cs="Times New Roman"/>
          <w:sz w:val="24"/>
          <w:szCs w:val="24"/>
          <w:lang w:val="en-GB"/>
        </w:rPr>
        <w:t>Bappebti</w:t>
      </w:r>
      <w:proofErr w:type="spellEnd"/>
      <w:r w:rsidRPr="00CF3ADB">
        <w:rPr>
          <w:rFonts w:ascii="Times New Roman" w:eastAsia="Times New Roman" w:hAnsi="Times New Roman" w:cs="Times New Roman"/>
          <w:sz w:val="24"/>
          <w:szCs w:val="24"/>
          <w:lang w:val="en-GB"/>
        </w:rPr>
        <w:t>), with support from academic institutions to assess technical feasibility and policy implications. Pilot projects can be conducted on lower-volatility digital assets, such as selected stablecoins, to evaluate the effectiveness of integrating tax logic into smart contracts and to measure users’ compliance elasticity.</w:t>
      </w:r>
    </w:p>
    <w:p w14:paraId="07828035" w14:textId="77777777" w:rsidR="00CF3ADB" w:rsidRPr="00CF3ADB" w:rsidRDefault="00CF3ADB" w:rsidP="00CF3ADB">
      <w:pPr>
        <w:spacing w:after="120"/>
        <w:jc w:val="both"/>
        <w:rPr>
          <w:rFonts w:ascii="Times New Roman" w:eastAsia="Times New Roman" w:hAnsi="Times New Roman" w:cs="Times New Roman"/>
          <w:sz w:val="24"/>
          <w:szCs w:val="24"/>
          <w:lang w:val="en-GB"/>
        </w:rPr>
      </w:pPr>
      <w:r w:rsidRPr="00CF3ADB">
        <w:rPr>
          <w:rFonts w:ascii="Times New Roman" w:eastAsia="Times New Roman" w:hAnsi="Times New Roman" w:cs="Times New Roman"/>
          <w:sz w:val="24"/>
          <w:szCs w:val="24"/>
          <w:lang w:val="en-GB"/>
        </w:rPr>
        <w:t xml:space="preserve">From the perspective of regulatory theory, the Regulated DeFi approach reflects a shift from command-and-control regulation toward algorithmic governance—compliance systems automated through technology (Yeung, 2018). This concept aligns with the idea of responsive regulation (Ayres &amp; Braithwaite, 1992), which emphasizes adapting regulation to market </w:t>
      </w:r>
      <w:proofErr w:type="spellStart"/>
      <w:r w:rsidRPr="00CF3ADB">
        <w:rPr>
          <w:rFonts w:ascii="Times New Roman" w:eastAsia="Times New Roman" w:hAnsi="Times New Roman" w:cs="Times New Roman"/>
          <w:sz w:val="24"/>
          <w:szCs w:val="24"/>
          <w:lang w:val="en-GB"/>
        </w:rPr>
        <w:t>behavior</w:t>
      </w:r>
      <w:proofErr w:type="spellEnd"/>
      <w:r w:rsidRPr="00CF3ADB">
        <w:rPr>
          <w:rFonts w:ascii="Times New Roman" w:eastAsia="Times New Roman" w:hAnsi="Times New Roman" w:cs="Times New Roman"/>
          <w:sz w:val="24"/>
          <w:szCs w:val="24"/>
          <w:lang w:val="en-GB"/>
        </w:rPr>
        <w:t>. In the context of digital taxation, this means building systems that not only punish violations but also create incentives for compliance. For example, users who opt into Regulated DeFi could be granted reduced tax rates or priority access to official financial products. In this way, compliance becomes economically rational, not merely an administrative obligation.</w:t>
      </w:r>
    </w:p>
    <w:p w14:paraId="347D1D9D" w14:textId="77777777" w:rsidR="00CF3ADB" w:rsidRPr="00CF3ADB" w:rsidRDefault="00CF3ADB" w:rsidP="00CF3ADB">
      <w:pPr>
        <w:spacing w:after="120"/>
        <w:jc w:val="both"/>
        <w:rPr>
          <w:rFonts w:ascii="Times New Roman" w:eastAsia="Times New Roman" w:hAnsi="Times New Roman" w:cs="Times New Roman"/>
          <w:sz w:val="24"/>
          <w:szCs w:val="24"/>
          <w:lang w:val="en-GB"/>
        </w:rPr>
      </w:pPr>
      <w:r w:rsidRPr="00CF3ADB">
        <w:rPr>
          <w:rFonts w:ascii="Times New Roman" w:eastAsia="Times New Roman" w:hAnsi="Times New Roman" w:cs="Times New Roman"/>
          <w:sz w:val="24"/>
          <w:szCs w:val="24"/>
          <w:lang w:val="en-GB"/>
        </w:rPr>
        <w:t xml:space="preserve">However, Regulated DeFi will not succeed without adequate institutional capacity. PMK 50/2025 still focuses on the collection aspect, while human resources, technology infrastructure, and data governance have not been priorities. Indonesia needs to establish a </w:t>
      </w:r>
      <w:proofErr w:type="spellStart"/>
      <w:r w:rsidRPr="00CF3ADB">
        <w:rPr>
          <w:rFonts w:ascii="Times New Roman" w:eastAsia="Times New Roman" w:hAnsi="Times New Roman" w:cs="Times New Roman"/>
          <w:sz w:val="24"/>
          <w:szCs w:val="24"/>
          <w:lang w:val="en-GB"/>
        </w:rPr>
        <w:t>Center</w:t>
      </w:r>
      <w:proofErr w:type="spellEnd"/>
      <w:r w:rsidRPr="00CF3ADB">
        <w:rPr>
          <w:rFonts w:ascii="Times New Roman" w:eastAsia="Times New Roman" w:hAnsi="Times New Roman" w:cs="Times New Roman"/>
          <w:sz w:val="24"/>
          <w:szCs w:val="24"/>
          <w:lang w:val="en-GB"/>
        </w:rPr>
        <w:t xml:space="preserve"> of Excellence for Digital Taxation within the DJP as a hub for research, training, and innovation in digital tax policy. This </w:t>
      </w:r>
      <w:proofErr w:type="spellStart"/>
      <w:r w:rsidRPr="00CF3ADB">
        <w:rPr>
          <w:rFonts w:ascii="Times New Roman" w:eastAsia="Times New Roman" w:hAnsi="Times New Roman" w:cs="Times New Roman"/>
          <w:sz w:val="24"/>
          <w:szCs w:val="24"/>
          <w:lang w:val="en-GB"/>
        </w:rPr>
        <w:t>center</w:t>
      </w:r>
      <w:proofErr w:type="spellEnd"/>
      <w:r w:rsidRPr="00CF3ADB">
        <w:rPr>
          <w:rFonts w:ascii="Times New Roman" w:eastAsia="Times New Roman" w:hAnsi="Times New Roman" w:cs="Times New Roman"/>
          <w:sz w:val="24"/>
          <w:szCs w:val="24"/>
          <w:lang w:val="en-GB"/>
        </w:rPr>
        <w:t xml:space="preserve"> can serve as a policy lab to test smart-contract-based taxation models, develop on-chain analytics tools, and strengthen synergy between fiscal regulation and technology. Technical training for tax officials—from outreach officers and auditors to data analysts—is essential so that knowledge of blockchain, DeFi, and digital forensics is not only theoretical but also applied.</w:t>
      </w:r>
    </w:p>
    <w:p w14:paraId="3EE5D7E4" w14:textId="70B4ADBE" w:rsidR="00CF3ADB" w:rsidRPr="00CF3ADB" w:rsidRDefault="00CF3ADB" w:rsidP="00CF3ADB">
      <w:pPr>
        <w:spacing w:after="120"/>
        <w:jc w:val="both"/>
        <w:rPr>
          <w:rFonts w:ascii="Times New Roman" w:eastAsia="Times New Roman" w:hAnsi="Times New Roman" w:cs="Times New Roman"/>
          <w:sz w:val="24"/>
          <w:szCs w:val="24"/>
          <w:lang w:val="en-GB"/>
        </w:rPr>
      </w:pPr>
      <w:r w:rsidRPr="00CF3ADB">
        <w:rPr>
          <w:rFonts w:ascii="Times New Roman" w:eastAsia="Times New Roman" w:hAnsi="Times New Roman" w:cs="Times New Roman"/>
          <w:sz w:val="24"/>
          <w:szCs w:val="24"/>
          <w:lang w:val="en-GB"/>
        </w:rPr>
        <w:t xml:space="preserve">Research collaboration with universities, international institutions, and industry should be strengthened to broaden the knowledge base and ensure that digital tax policy is supported by empirical evidence. Cross-disciplinary studies spanning fiscal law, computer science, and the digital economy will help formulate a Regulated DeFi approach that is not only efficient but also fair and suited to Indonesia’s institutional context. With strong institutional capacity, Regulated </w:t>
      </w:r>
      <w:r w:rsidRPr="00CF3ADB">
        <w:rPr>
          <w:rFonts w:ascii="Times New Roman" w:eastAsia="Times New Roman" w:hAnsi="Times New Roman" w:cs="Times New Roman"/>
          <w:sz w:val="24"/>
          <w:szCs w:val="24"/>
          <w:lang w:val="en-GB"/>
        </w:rPr>
        <w:lastRenderedPageBreak/>
        <w:t>DeFi is not merely an alternative but a middle path that balances financial innovation with fiscal compliance.</w:t>
      </w:r>
    </w:p>
    <w:p w14:paraId="12982717" w14:textId="77777777" w:rsidR="00CF3ADB" w:rsidRPr="00CF3ADB" w:rsidRDefault="00CF3ADB" w:rsidP="00CF3ADB">
      <w:pPr>
        <w:spacing w:after="120"/>
        <w:jc w:val="both"/>
        <w:rPr>
          <w:rFonts w:ascii="Times New Roman" w:eastAsia="Times New Roman" w:hAnsi="Times New Roman" w:cs="Times New Roman"/>
          <w:sz w:val="24"/>
          <w:szCs w:val="24"/>
          <w:lang w:val="en-GB"/>
        </w:rPr>
      </w:pPr>
      <w:r w:rsidRPr="00CF3ADB">
        <w:rPr>
          <w:rFonts w:ascii="Times New Roman" w:eastAsia="Times New Roman" w:hAnsi="Times New Roman" w:cs="Times New Roman"/>
          <w:sz w:val="24"/>
          <w:szCs w:val="24"/>
          <w:lang w:val="en-GB"/>
        </w:rPr>
        <w:t>This approach is also consistent with global trends toward compliance automation in public finance, where tax logic is integrated directly into the digital technology layer (</w:t>
      </w:r>
      <w:proofErr w:type="spellStart"/>
      <w:r w:rsidRPr="00CF3ADB">
        <w:rPr>
          <w:rFonts w:ascii="Times New Roman" w:eastAsia="Times New Roman" w:hAnsi="Times New Roman" w:cs="Times New Roman"/>
          <w:sz w:val="24"/>
          <w:szCs w:val="24"/>
          <w:lang w:val="en-GB"/>
        </w:rPr>
        <w:t>Zetzsche</w:t>
      </w:r>
      <w:proofErr w:type="spellEnd"/>
      <w:r w:rsidRPr="00CF3ADB">
        <w:rPr>
          <w:rFonts w:ascii="Times New Roman" w:eastAsia="Times New Roman" w:hAnsi="Times New Roman" w:cs="Times New Roman"/>
          <w:sz w:val="24"/>
          <w:szCs w:val="24"/>
          <w:lang w:val="en-GB"/>
        </w:rPr>
        <w:t xml:space="preserve"> et al., 2020). Thus, Regulated DeFi can serve as a bridge model between financial innovation and modern public governance: a tax system that not only adapts to the digital economy but also becomes an integral part of the technology architecture itself.</w:t>
      </w:r>
    </w:p>
    <w:p w14:paraId="537FDBC0" w14:textId="77777777" w:rsidR="00CF3ADB" w:rsidRDefault="00CF3ADB" w:rsidP="00CF3ADB">
      <w:pPr>
        <w:spacing w:after="120"/>
        <w:jc w:val="both"/>
        <w:rPr>
          <w:rFonts w:ascii="Times New Roman" w:eastAsia="Times New Roman" w:hAnsi="Times New Roman" w:cs="Times New Roman"/>
          <w:sz w:val="24"/>
          <w:szCs w:val="24"/>
          <w:lang w:val="en-GB"/>
        </w:rPr>
      </w:pPr>
    </w:p>
    <w:p w14:paraId="5B769C4F" w14:textId="4F177F6A" w:rsidR="00CF3ADB" w:rsidRPr="00CF3ADB" w:rsidRDefault="00CF3ADB" w:rsidP="00CF3ADB">
      <w:pPr>
        <w:spacing w:after="120"/>
        <w:jc w:val="both"/>
        <w:rPr>
          <w:rFonts w:ascii="Times New Roman" w:eastAsia="Times New Roman" w:hAnsi="Times New Roman" w:cs="Times New Roman"/>
          <w:b/>
          <w:bCs/>
          <w:sz w:val="24"/>
          <w:szCs w:val="24"/>
          <w:lang w:val="en-GB"/>
        </w:rPr>
      </w:pPr>
      <w:r w:rsidRPr="00CF3ADB">
        <w:rPr>
          <w:rFonts w:ascii="Times New Roman" w:eastAsia="Times New Roman" w:hAnsi="Times New Roman" w:cs="Times New Roman"/>
          <w:b/>
          <w:bCs/>
          <w:sz w:val="24"/>
          <w:szCs w:val="24"/>
          <w:lang w:val="en-GB"/>
        </w:rPr>
        <w:t>CONCLUSION AND RECOMMENDATIONS</w:t>
      </w:r>
    </w:p>
    <w:p w14:paraId="70577603" w14:textId="77777777" w:rsidR="00CF3ADB" w:rsidRPr="00CF3ADB" w:rsidRDefault="00CF3ADB" w:rsidP="00CF3ADB">
      <w:pPr>
        <w:spacing w:after="120"/>
        <w:jc w:val="both"/>
        <w:rPr>
          <w:rFonts w:ascii="Times New Roman" w:eastAsia="Times New Roman" w:hAnsi="Times New Roman" w:cs="Times New Roman"/>
          <w:sz w:val="24"/>
          <w:szCs w:val="24"/>
          <w:lang w:val="en-GB"/>
        </w:rPr>
      </w:pPr>
      <w:r w:rsidRPr="00CF3ADB">
        <w:rPr>
          <w:rFonts w:ascii="Times New Roman" w:eastAsia="Times New Roman" w:hAnsi="Times New Roman" w:cs="Times New Roman"/>
          <w:sz w:val="24"/>
          <w:szCs w:val="24"/>
          <w:lang w:val="en-GB"/>
        </w:rPr>
        <w:t xml:space="preserve">Through a review of the literature and policy, this study concludes that PMK 50/2025 successfully establishes legal certainty and administrative simplicity for crypto taxation on CEXs, but its substantive effectiveness is limited because an entity-based regulatory paradigm is misaligned with a protocol-based market architecture. The absence of collectors, pseudonymous identities, and the lack of a clear territorial nexus on DEXs produce fiscal attribution gaps that create an illusion of compliance, reduce tax morale, and widen the tax gap. From a critical-realist perspective, the PMK reaches only the empirical and part of the actual layers, while the structural layer that underpins tax avoidance on DEXs remains out of reach. From the standpoint of deterrence theory, the low probability of detection for on-chain transactions erodes deterrence, so after-tax differentials drive </w:t>
      </w:r>
      <w:proofErr w:type="spellStart"/>
      <w:r w:rsidRPr="00CF3ADB">
        <w:rPr>
          <w:rFonts w:ascii="Times New Roman" w:eastAsia="Times New Roman" w:hAnsi="Times New Roman" w:cs="Times New Roman"/>
          <w:sz w:val="24"/>
          <w:szCs w:val="24"/>
          <w:lang w:val="en-GB"/>
        </w:rPr>
        <w:t>behavioral</w:t>
      </w:r>
      <w:proofErr w:type="spellEnd"/>
      <w:r w:rsidRPr="00CF3ADB">
        <w:rPr>
          <w:rFonts w:ascii="Times New Roman" w:eastAsia="Times New Roman" w:hAnsi="Times New Roman" w:cs="Times New Roman"/>
          <w:sz w:val="24"/>
          <w:szCs w:val="24"/>
          <w:lang w:val="en-GB"/>
        </w:rPr>
        <w:t xml:space="preserve"> migration from CEXs to DEXs.</w:t>
      </w:r>
    </w:p>
    <w:p w14:paraId="66573FD5" w14:textId="5EE045CD" w:rsidR="00CF3ADB" w:rsidRPr="00CF3ADB" w:rsidRDefault="00CF3ADB" w:rsidP="00CF3ADB">
      <w:pPr>
        <w:spacing w:after="120"/>
        <w:jc w:val="both"/>
        <w:rPr>
          <w:rFonts w:ascii="Times New Roman" w:eastAsia="Times New Roman" w:hAnsi="Times New Roman" w:cs="Times New Roman"/>
          <w:sz w:val="24"/>
          <w:szCs w:val="24"/>
          <w:lang w:val="en-GB"/>
        </w:rPr>
      </w:pPr>
      <w:r w:rsidRPr="00CF3ADB">
        <w:rPr>
          <w:rFonts w:ascii="Times New Roman" w:eastAsia="Times New Roman" w:hAnsi="Times New Roman" w:cs="Times New Roman"/>
          <w:sz w:val="24"/>
          <w:szCs w:val="24"/>
          <w:lang w:val="en-GB"/>
        </w:rPr>
        <w:t xml:space="preserve">A more resilient policy agenda requires shifting focus from institutions to architecture. Short-term priorities include strengthening tax capture points at on-ramps and off-ramps, imposing minimal reporting obligations on user-facing service interfaces, and integrating on-chain analytics to link transaction flows to tax residency. Medium-term priorities include adopting international reporting frameworks to reduce jurisdictional arbitrage and running a regulated-DeFi sandbox to test protocol-level tax withholding or reporting via trusted oracles. Long-term priorities include building a national compliance infrastructure that encompasses standardized definitions of on-chain taxable objects, identity interoperability that protects personal data, and establishing a </w:t>
      </w:r>
      <w:proofErr w:type="spellStart"/>
      <w:r w:rsidRPr="00CF3ADB">
        <w:rPr>
          <w:rFonts w:ascii="Times New Roman" w:eastAsia="Times New Roman" w:hAnsi="Times New Roman" w:cs="Times New Roman"/>
          <w:sz w:val="24"/>
          <w:szCs w:val="24"/>
          <w:lang w:val="en-GB"/>
        </w:rPr>
        <w:t>center</w:t>
      </w:r>
      <w:proofErr w:type="spellEnd"/>
      <w:r w:rsidRPr="00CF3ADB">
        <w:rPr>
          <w:rFonts w:ascii="Times New Roman" w:eastAsia="Times New Roman" w:hAnsi="Times New Roman" w:cs="Times New Roman"/>
          <w:sz w:val="24"/>
          <w:szCs w:val="24"/>
          <w:lang w:val="en-GB"/>
        </w:rPr>
        <w:t xml:space="preserve"> of excellence for digital taxation for research, training, and policy innovation.</w:t>
      </w:r>
    </w:p>
    <w:p w14:paraId="3C38BA34" w14:textId="44206536" w:rsidR="00CF3ADB" w:rsidRPr="00CF3ADB" w:rsidRDefault="00CF3ADB" w:rsidP="00CF3ADB">
      <w:pPr>
        <w:spacing w:after="120"/>
        <w:jc w:val="both"/>
        <w:rPr>
          <w:rFonts w:ascii="Times New Roman" w:eastAsia="Times New Roman" w:hAnsi="Times New Roman" w:cs="Times New Roman"/>
          <w:sz w:val="24"/>
          <w:szCs w:val="24"/>
          <w:lang w:val="en-GB"/>
        </w:rPr>
      </w:pPr>
      <w:r w:rsidRPr="00CF3ADB">
        <w:rPr>
          <w:rFonts w:ascii="Times New Roman" w:eastAsia="Times New Roman" w:hAnsi="Times New Roman" w:cs="Times New Roman"/>
          <w:sz w:val="24"/>
          <w:szCs w:val="24"/>
          <w:lang w:val="en-GB"/>
        </w:rPr>
        <w:t xml:space="preserve">The theoretical contribution of this study is to show the limitations of entity-based fiscal regulation in a decentralized financial system and to offer a redesign framework oriented toward compliance by design. The limitation of the study lies in its reliance on secondary data without quantitative on-chain testing. Further research is recommended on empirical measurement of the tax gap using blockchain data, microsimulation </w:t>
      </w:r>
      <w:r w:rsidR="00131E68" w:rsidRPr="00CF3ADB">
        <w:rPr>
          <w:rFonts w:ascii="Times New Roman" w:eastAsia="Times New Roman" w:hAnsi="Times New Roman" w:cs="Times New Roman"/>
          <w:sz w:val="24"/>
          <w:szCs w:val="24"/>
          <w:lang w:val="en-GB"/>
        </w:rPr>
        <w:t>modelling</w:t>
      </w:r>
      <w:r w:rsidRPr="00CF3ADB">
        <w:rPr>
          <w:rFonts w:ascii="Times New Roman" w:eastAsia="Times New Roman" w:hAnsi="Times New Roman" w:cs="Times New Roman"/>
          <w:sz w:val="24"/>
          <w:szCs w:val="24"/>
          <w:lang w:val="en-GB"/>
        </w:rPr>
        <w:t xml:space="preserve"> of the impact of rates and protocol-level withholding mechanisms, and experimental evaluation of a regulated-DeFi sandbox. With these steps, Indonesia can sustainably broaden the digital tax base while maintaining fairness, legitimacy, and the competitiveness of financial innovation.</w:t>
      </w:r>
    </w:p>
    <w:p w14:paraId="49C34889" w14:textId="20087398" w:rsidR="00BB17A0" w:rsidRPr="00CF3ADB" w:rsidRDefault="00BB17A0" w:rsidP="008A05B7">
      <w:pPr>
        <w:spacing w:after="120"/>
        <w:jc w:val="both"/>
        <w:rPr>
          <w:rFonts w:ascii="Times New Roman" w:eastAsia="Times New Roman" w:hAnsi="Times New Roman" w:cs="Times New Roman"/>
          <w:b/>
          <w:sz w:val="24"/>
          <w:szCs w:val="24"/>
          <w:lang w:val="en-GB"/>
        </w:rPr>
      </w:pPr>
    </w:p>
    <w:p w14:paraId="3B6D7D17" w14:textId="605862A3" w:rsidR="00BB17A0" w:rsidRPr="001205AF" w:rsidRDefault="000556AB">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00CF3ADB">
        <w:rPr>
          <w:rFonts w:ascii="Times New Roman" w:eastAsia="Times New Roman" w:hAnsi="Times New Roman" w:cs="Times New Roman"/>
          <w:b/>
          <w:sz w:val="24"/>
          <w:szCs w:val="24"/>
        </w:rPr>
        <w:t>REFERENCES</w:t>
      </w:r>
    </w:p>
    <w:p w14:paraId="7264BC29" w14:textId="2DAD7595" w:rsidR="00BB17A0" w:rsidRPr="001205AF" w:rsidRDefault="000556AB" w:rsidP="00337E99">
      <w:pPr>
        <w:spacing w:line="240" w:lineRule="auto"/>
        <w:ind w:left="706" w:hanging="706"/>
        <w:jc w:val="both"/>
        <w:rPr>
          <w:rFonts w:ascii="Times New Roman" w:eastAsia="Times New Roman" w:hAnsi="Times New Roman" w:cs="Times New Roman"/>
          <w:sz w:val="24"/>
          <w:szCs w:val="24"/>
        </w:rPr>
      </w:pPr>
      <w:proofErr w:type="spellStart"/>
      <w:r w:rsidRPr="001205AF">
        <w:rPr>
          <w:rFonts w:ascii="Times New Roman" w:eastAsia="Times New Roman" w:hAnsi="Times New Roman" w:cs="Times New Roman"/>
          <w:sz w:val="24"/>
          <w:szCs w:val="24"/>
        </w:rPr>
        <w:t>Aave</w:t>
      </w:r>
      <w:proofErr w:type="spellEnd"/>
      <w:r w:rsidRPr="001205AF">
        <w:rPr>
          <w:rFonts w:ascii="Times New Roman" w:eastAsia="Times New Roman" w:hAnsi="Times New Roman" w:cs="Times New Roman"/>
          <w:sz w:val="24"/>
          <w:szCs w:val="24"/>
        </w:rPr>
        <w:t xml:space="preserve">. (2022). </w:t>
      </w:r>
      <w:proofErr w:type="spellStart"/>
      <w:r w:rsidRPr="001205AF">
        <w:rPr>
          <w:rFonts w:ascii="Times New Roman" w:eastAsia="Times New Roman" w:hAnsi="Times New Roman" w:cs="Times New Roman"/>
          <w:i/>
          <w:sz w:val="24"/>
          <w:szCs w:val="24"/>
        </w:rPr>
        <w:t>Aave</w:t>
      </w:r>
      <w:proofErr w:type="spellEnd"/>
      <w:r w:rsidRPr="001205AF">
        <w:rPr>
          <w:rFonts w:ascii="Times New Roman" w:eastAsia="Times New Roman" w:hAnsi="Times New Roman" w:cs="Times New Roman"/>
          <w:i/>
          <w:sz w:val="24"/>
          <w:szCs w:val="24"/>
        </w:rPr>
        <w:t xml:space="preserve"> Arc: Institutional DeFi framework</w:t>
      </w:r>
      <w:r w:rsidRPr="001205AF">
        <w:rPr>
          <w:rFonts w:ascii="Times New Roman" w:eastAsia="Times New Roman" w:hAnsi="Times New Roman" w:cs="Times New Roman"/>
          <w:sz w:val="24"/>
          <w:szCs w:val="24"/>
        </w:rPr>
        <w:t xml:space="preserve"> (</w:t>
      </w:r>
      <w:r w:rsidR="00CF3ADB" w:rsidRPr="00CF3ADB">
        <w:rPr>
          <w:rFonts w:ascii="Times New Roman" w:eastAsia="Times New Roman" w:hAnsi="Times New Roman" w:cs="Times New Roman"/>
          <w:sz w:val="24"/>
          <w:szCs w:val="24"/>
        </w:rPr>
        <w:t>Official documentation</w:t>
      </w:r>
      <w:r w:rsidRPr="001205AF">
        <w:rPr>
          <w:rFonts w:ascii="Times New Roman" w:eastAsia="Times New Roman" w:hAnsi="Times New Roman" w:cs="Times New Roman"/>
          <w:sz w:val="24"/>
          <w:szCs w:val="24"/>
        </w:rPr>
        <w:t xml:space="preserve">). </w:t>
      </w:r>
      <w:proofErr w:type="spellStart"/>
      <w:r w:rsidRPr="001205AF">
        <w:rPr>
          <w:rFonts w:ascii="Times New Roman" w:eastAsia="Times New Roman" w:hAnsi="Times New Roman" w:cs="Times New Roman"/>
          <w:sz w:val="24"/>
          <w:szCs w:val="24"/>
        </w:rPr>
        <w:t>Aave</w:t>
      </w:r>
      <w:proofErr w:type="spellEnd"/>
      <w:r w:rsidRPr="001205AF">
        <w:rPr>
          <w:rFonts w:ascii="Times New Roman" w:eastAsia="Times New Roman" w:hAnsi="Times New Roman" w:cs="Times New Roman"/>
          <w:sz w:val="24"/>
          <w:szCs w:val="24"/>
        </w:rPr>
        <w:t xml:space="preserve"> Protocol.</w:t>
      </w:r>
    </w:p>
    <w:p w14:paraId="1D9364D0" w14:textId="7D6989B6" w:rsidR="00BB17A0" w:rsidRPr="001205AF" w:rsidRDefault="000556AB" w:rsidP="00337E99">
      <w:pPr>
        <w:spacing w:line="240" w:lineRule="auto"/>
        <w:ind w:left="706" w:hanging="706"/>
        <w:jc w:val="both"/>
        <w:rPr>
          <w:rFonts w:ascii="Times New Roman" w:eastAsia="Times New Roman" w:hAnsi="Times New Roman" w:cs="Times New Roman"/>
          <w:sz w:val="24"/>
          <w:szCs w:val="24"/>
        </w:rPr>
      </w:pPr>
      <w:r w:rsidRPr="001205AF">
        <w:rPr>
          <w:rFonts w:ascii="Times New Roman" w:eastAsia="Times New Roman" w:hAnsi="Times New Roman" w:cs="Times New Roman"/>
          <w:sz w:val="24"/>
          <w:szCs w:val="24"/>
        </w:rPr>
        <w:t xml:space="preserve">Allingham, M. G., </w:t>
      </w:r>
      <w:r w:rsidR="00CF3ADB">
        <w:rPr>
          <w:rFonts w:ascii="Times New Roman" w:eastAsia="Times New Roman" w:hAnsi="Times New Roman" w:cs="Times New Roman"/>
          <w:sz w:val="24"/>
          <w:szCs w:val="24"/>
        </w:rPr>
        <w:t>&amp;</w:t>
      </w:r>
      <w:r w:rsidRPr="001205AF">
        <w:rPr>
          <w:rFonts w:ascii="Times New Roman" w:eastAsia="Times New Roman" w:hAnsi="Times New Roman" w:cs="Times New Roman"/>
          <w:sz w:val="24"/>
          <w:szCs w:val="24"/>
        </w:rPr>
        <w:t xml:space="preserve"> Sandmo, A. (1972). Income tax evasion: A theoretical analysis. </w:t>
      </w:r>
      <w:r w:rsidRPr="001205AF">
        <w:rPr>
          <w:rFonts w:ascii="Times New Roman" w:eastAsia="Times New Roman" w:hAnsi="Times New Roman" w:cs="Times New Roman"/>
          <w:i/>
          <w:sz w:val="24"/>
          <w:szCs w:val="24"/>
        </w:rPr>
        <w:t>Journal of Public Economics, 1</w:t>
      </w:r>
      <w:r w:rsidRPr="001205AF">
        <w:rPr>
          <w:rFonts w:ascii="Times New Roman" w:eastAsia="Times New Roman" w:hAnsi="Times New Roman" w:cs="Times New Roman"/>
          <w:sz w:val="24"/>
          <w:szCs w:val="24"/>
        </w:rPr>
        <w:t>(3–4), 323–338.</w:t>
      </w:r>
    </w:p>
    <w:p w14:paraId="3A8F330A" w14:textId="77777777" w:rsidR="00BB17A0" w:rsidRPr="001205AF" w:rsidRDefault="000556AB" w:rsidP="00337E99">
      <w:pPr>
        <w:spacing w:line="240" w:lineRule="auto"/>
        <w:ind w:left="706" w:hanging="706"/>
        <w:jc w:val="both"/>
        <w:rPr>
          <w:rFonts w:ascii="Times New Roman" w:eastAsia="Times New Roman" w:hAnsi="Times New Roman" w:cs="Times New Roman"/>
          <w:sz w:val="24"/>
          <w:szCs w:val="24"/>
        </w:rPr>
      </w:pPr>
      <w:r w:rsidRPr="001205AF">
        <w:rPr>
          <w:rFonts w:ascii="Times New Roman" w:eastAsia="Times New Roman" w:hAnsi="Times New Roman" w:cs="Times New Roman"/>
          <w:sz w:val="24"/>
          <w:szCs w:val="24"/>
        </w:rPr>
        <w:t xml:space="preserve">Becker, G. S. (1968). Crime and punishment: An economic approach. </w:t>
      </w:r>
      <w:r w:rsidRPr="001205AF">
        <w:rPr>
          <w:rFonts w:ascii="Times New Roman" w:eastAsia="Times New Roman" w:hAnsi="Times New Roman" w:cs="Times New Roman"/>
          <w:i/>
          <w:sz w:val="24"/>
          <w:szCs w:val="24"/>
        </w:rPr>
        <w:t>Journal of Political Economy, 76</w:t>
      </w:r>
      <w:r w:rsidRPr="001205AF">
        <w:rPr>
          <w:rFonts w:ascii="Times New Roman" w:eastAsia="Times New Roman" w:hAnsi="Times New Roman" w:cs="Times New Roman"/>
          <w:sz w:val="24"/>
          <w:szCs w:val="24"/>
        </w:rPr>
        <w:t>(2), 169–217.</w:t>
      </w:r>
    </w:p>
    <w:p w14:paraId="22A5D84F" w14:textId="5D8C4BD5" w:rsidR="00BB17A0" w:rsidRPr="001205AF" w:rsidRDefault="000556AB" w:rsidP="00337E99">
      <w:pPr>
        <w:spacing w:line="240" w:lineRule="auto"/>
        <w:ind w:left="706" w:hanging="706"/>
        <w:jc w:val="both"/>
        <w:rPr>
          <w:rFonts w:ascii="Times New Roman" w:eastAsia="Times New Roman" w:hAnsi="Times New Roman" w:cs="Times New Roman"/>
          <w:sz w:val="24"/>
          <w:szCs w:val="24"/>
        </w:rPr>
      </w:pPr>
      <w:proofErr w:type="spellStart"/>
      <w:r w:rsidRPr="001205AF">
        <w:rPr>
          <w:rFonts w:ascii="Times New Roman" w:eastAsia="Times New Roman" w:hAnsi="Times New Roman" w:cs="Times New Roman"/>
          <w:sz w:val="24"/>
          <w:szCs w:val="24"/>
        </w:rPr>
        <w:t>BeInCrypto</w:t>
      </w:r>
      <w:proofErr w:type="spellEnd"/>
      <w:r w:rsidRPr="001205AF">
        <w:rPr>
          <w:rFonts w:ascii="Times New Roman" w:eastAsia="Times New Roman" w:hAnsi="Times New Roman" w:cs="Times New Roman"/>
          <w:sz w:val="24"/>
          <w:szCs w:val="24"/>
        </w:rPr>
        <w:t xml:space="preserve"> Indonesia. (2025, </w:t>
      </w:r>
      <w:r w:rsidR="00CF3ADB">
        <w:rPr>
          <w:rFonts w:ascii="Times New Roman" w:eastAsia="Times New Roman" w:hAnsi="Times New Roman" w:cs="Times New Roman"/>
          <w:sz w:val="24"/>
          <w:szCs w:val="24"/>
        </w:rPr>
        <w:t>August</w:t>
      </w:r>
      <w:r w:rsidRPr="001205AF">
        <w:rPr>
          <w:rFonts w:ascii="Times New Roman" w:eastAsia="Times New Roman" w:hAnsi="Times New Roman" w:cs="Times New Roman"/>
          <w:sz w:val="24"/>
          <w:szCs w:val="24"/>
        </w:rPr>
        <w:t xml:space="preserve">). </w:t>
      </w:r>
      <w:proofErr w:type="spellStart"/>
      <w:r w:rsidRPr="001205AF">
        <w:rPr>
          <w:rFonts w:ascii="Times New Roman" w:eastAsia="Times New Roman" w:hAnsi="Times New Roman" w:cs="Times New Roman"/>
          <w:i/>
          <w:sz w:val="24"/>
          <w:szCs w:val="24"/>
        </w:rPr>
        <w:t>Statistik</w:t>
      </w:r>
      <w:proofErr w:type="spellEnd"/>
      <w:r w:rsidRPr="001205AF">
        <w:rPr>
          <w:rFonts w:ascii="Times New Roman" w:eastAsia="Times New Roman" w:hAnsi="Times New Roman" w:cs="Times New Roman"/>
          <w:i/>
          <w:sz w:val="24"/>
          <w:szCs w:val="24"/>
        </w:rPr>
        <w:t xml:space="preserve"> </w:t>
      </w:r>
      <w:proofErr w:type="spellStart"/>
      <w:r w:rsidRPr="001205AF">
        <w:rPr>
          <w:rFonts w:ascii="Times New Roman" w:eastAsia="Times New Roman" w:hAnsi="Times New Roman" w:cs="Times New Roman"/>
          <w:i/>
          <w:sz w:val="24"/>
          <w:szCs w:val="24"/>
        </w:rPr>
        <w:t>pengguna</w:t>
      </w:r>
      <w:proofErr w:type="spellEnd"/>
      <w:r w:rsidRPr="001205AF">
        <w:rPr>
          <w:rFonts w:ascii="Times New Roman" w:eastAsia="Times New Roman" w:hAnsi="Times New Roman" w:cs="Times New Roman"/>
          <w:i/>
          <w:sz w:val="24"/>
          <w:szCs w:val="24"/>
        </w:rPr>
        <w:t xml:space="preserve"> dan </w:t>
      </w:r>
      <w:proofErr w:type="spellStart"/>
      <w:r w:rsidRPr="001205AF">
        <w:rPr>
          <w:rFonts w:ascii="Times New Roman" w:eastAsia="Times New Roman" w:hAnsi="Times New Roman" w:cs="Times New Roman"/>
          <w:i/>
          <w:sz w:val="24"/>
          <w:szCs w:val="24"/>
        </w:rPr>
        <w:t>transaksi</w:t>
      </w:r>
      <w:proofErr w:type="spellEnd"/>
      <w:r w:rsidRPr="001205AF">
        <w:rPr>
          <w:rFonts w:ascii="Times New Roman" w:eastAsia="Times New Roman" w:hAnsi="Times New Roman" w:cs="Times New Roman"/>
          <w:i/>
          <w:sz w:val="24"/>
          <w:szCs w:val="24"/>
        </w:rPr>
        <w:t xml:space="preserve"> </w:t>
      </w:r>
      <w:proofErr w:type="spellStart"/>
      <w:r w:rsidRPr="001205AF">
        <w:rPr>
          <w:rFonts w:ascii="Times New Roman" w:eastAsia="Times New Roman" w:hAnsi="Times New Roman" w:cs="Times New Roman"/>
          <w:i/>
          <w:sz w:val="24"/>
          <w:szCs w:val="24"/>
        </w:rPr>
        <w:t>kripto</w:t>
      </w:r>
      <w:proofErr w:type="spellEnd"/>
      <w:r w:rsidRPr="001205AF">
        <w:rPr>
          <w:rFonts w:ascii="Times New Roman" w:eastAsia="Times New Roman" w:hAnsi="Times New Roman" w:cs="Times New Roman"/>
          <w:i/>
          <w:sz w:val="24"/>
          <w:szCs w:val="24"/>
        </w:rPr>
        <w:t xml:space="preserve"> Indonesia 2025</w:t>
      </w:r>
      <w:r w:rsidRPr="001205AF">
        <w:rPr>
          <w:rFonts w:ascii="Times New Roman" w:eastAsia="Times New Roman" w:hAnsi="Times New Roman" w:cs="Times New Roman"/>
          <w:sz w:val="24"/>
          <w:szCs w:val="24"/>
        </w:rPr>
        <w:t xml:space="preserve"> (</w:t>
      </w:r>
      <w:r w:rsidR="00CF3ADB" w:rsidRPr="00CF3ADB">
        <w:rPr>
          <w:rFonts w:ascii="Times New Roman" w:eastAsia="Times New Roman" w:hAnsi="Times New Roman" w:cs="Times New Roman"/>
          <w:sz w:val="24"/>
          <w:szCs w:val="24"/>
        </w:rPr>
        <w:t>report/article citing OJK data</w:t>
      </w:r>
      <w:r w:rsidRPr="001205AF">
        <w:rPr>
          <w:rFonts w:ascii="Times New Roman" w:eastAsia="Times New Roman" w:hAnsi="Times New Roman" w:cs="Times New Roman"/>
          <w:sz w:val="24"/>
          <w:szCs w:val="24"/>
        </w:rPr>
        <w:t>).</w:t>
      </w:r>
    </w:p>
    <w:p w14:paraId="4F6801BA" w14:textId="77777777" w:rsidR="00BB17A0" w:rsidRPr="001205AF" w:rsidRDefault="000556AB" w:rsidP="00337E99">
      <w:pPr>
        <w:spacing w:line="240" w:lineRule="auto"/>
        <w:ind w:left="706" w:hanging="706"/>
        <w:jc w:val="both"/>
        <w:rPr>
          <w:rFonts w:ascii="Times New Roman" w:eastAsia="Times New Roman" w:hAnsi="Times New Roman" w:cs="Times New Roman"/>
          <w:sz w:val="24"/>
          <w:szCs w:val="24"/>
        </w:rPr>
      </w:pPr>
      <w:r w:rsidRPr="001205AF">
        <w:rPr>
          <w:rFonts w:ascii="Times New Roman" w:eastAsia="Times New Roman" w:hAnsi="Times New Roman" w:cs="Times New Roman"/>
          <w:sz w:val="24"/>
          <w:szCs w:val="24"/>
        </w:rPr>
        <w:t xml:space="preserve">Bhaskar, R. (2020). </w:t>
      </w:r>
      <w:r w:rsidRPr="001205AF">
        <w:rPr>
          <w:rFonts w:ascii="Times New Roman" w:eastAsia="Times New Roman" w:hAnsi="Times New Roman" w:cs="Times New Roman"/>
          <w:i/>
          <w:sz w:val="24"/>
          <w:szCs w:val="24"/>
        </w:rPr>
        <w:t>The possibility of naturalism: A philosophical critique of the contemporary human sciences</w:t>
      </w:r>
      <w:r w:rsidRPr="001205AF">
        <w:rPr>
          <w:rFonts w:ascii="Times New Roman" w:eastAsia="Times New Roman" w:hAnsi="Times New Roman" w:cs="Times New Roman"/>
          <w:sz w:val="24"/>
          <w:szCs w:val="24"/>
        </w:rPr>
        <w:t xml:space="preserve"> (ed. </w:t>
      </w:r>
      <w:proofErr w:type="spellStart"/>
      <w:r w:rsidRPr="001205AF">
        <w:rPr>
          <w:rFonts w:ascii="Times New Roman" w:eastAsia="Times New Roman" w:hAnsi="Times New Roman" w:cs="Times New Roman"/>
          <w:sz w:val="24"/>
          <w:szCs w:val="24"/>
        </w:rPr>
        <w:t>terbaru</w:t>
      </w:r>
      <w:proofErr w:type="spellEnd"/>
      <w:r w:rsidRPr="001205AF">
        <w:rPr>
          <w:rFonts w:ascii="Times New Roman" w:eastAsia="Times New Roman" w:hAnsi="Times New Roman" w:cs="Times New Roman"/>
          <w:sz w:val="24"/>
          <w:szCs w:val="24"/>
        </w:rPr>
        <w:t>). Routledge.</w:t>
      </w:r>
    </w:p>
    <w:p w14:paraId="64170ACB" w14:textId="77777777" w:rsidR="00BB17A0" w:rsidRPr="001205AF" w:rsidRDefault="000556AB" w:rsidP="00337E99">
      <w:pPr>
        <w:spacing w:line="240" w:lineRule="auto"/>
        <w:ind w:left="706" w:hanging="706"/>
        <w:jc w:val="both"/>
        <w:rPr>
          <w:rFonts w:ascii="Times New Roman" w:eastAsia="Times New Roman" w:hAnsi="Times New Roman" w:cs="Times New Roman"/>
          <w:sz w:val="24"/>
          <w:szCs w:val="24"/>
        </w:rPr>
      </w:pPr>
      <w:r w:rsidRPr="001205AF">
        <w:rPr>
          <w:rFonts w:ascii="Times New Roman" w:eastAsia="Times New Roman" w:hAnsi="Times New Roman" w:cs="Times New Roman"/>
          <w:sz w:val="24"/>
          <w:szCs w:val="24"/>
        </w:rPr>
        <w:t xml:space="preserve">Badan </w:t>
      </w:r>
      <w:proofErr w:type="spellStart"/>
      <w:r w:rsidRPr="001205AF">
        <w:rPr>
          <w:rFonts w:ascii="Times New Roman" w:eastAsia="Times New Roman" w:hAnsi="Times New Roman" w:cs="Times New Roman"/>
          <w:sz w:val="24"/>
          <w:szCs w:val="24"/>
        </w:rPr>
        <w:t>Pengawas</w:t>
      </w:r>
      <w:proofErr w:type="spellEnd"/>
      <w:r w:rsidRPr="001205AF">
        <w:rPr>
          <w:rFonts w:ascii="Times New Roman" w:eastAsia="Times New Roman" w:hAnsi="Times New Roman" w:cs="Times New Roman"/>
          <w:sz w:val="24"/>
          <w:szCs w:val="24"/>
        </w:rPr>
        <w:t xml:space="preserve"> </w:t>
      </w:r>
      <w:proofErr w:type="spellStart"/>
      <w:r w:rsidRPr="001205AF">
        <w:rPr>
          <w:rFonts w:ascii="Times New Roman" w:eastAsia="Times New Roman" w:hAnsi="Times New Roman" w:cs="Times New Roman"/>
          <w:sz w:val="24"/>
          <w:szCs w:val="24"/>
        </w:rPr>
        <w:t>Perdagangan</w:t>
      </w:r>
      <w:proofErr w:type="spellEnd"/>
      <w:r w:rsidRPr="001205AF">
        <w:rPr>
          <w:rFonts w:ascii="Times New Roman" w:eastAsia="Times New Roman" w:hAnsi="Times New Roman" w:cs="Times New Roman"/>
          <w:sz w:val="24"/>
          <w:szCs w:val="24"/>
        </w:rPr>
        <w:t xml:space="preserve"> </w:t>
      </w:r>
      <w:proofErr w:type="spellStart"/>
      <w:r w:rsidRPr="001205AF">
        <w:rPr>
          <w:rFonts w:ascii="Times New Roman" w:eastAsia="Times New Roman" w:hAnsi="Times New Roman" w:cs="Times New Roman"/>
          <w:sz w:val="24"/>
          <w:szCs w:val="24"/>
        </w:rPr>
        <w:t>Berjangka</w:t>
      </w:r>
      <w:proofErr w:type="spellEnd"/>
      <w:r w:rsidRPr="001205AF">
        <w:rPr>
          <w:rFonts w:ascii="Times New Roman" w:eastAsia="Times New Roman" w:hAnsi="Times New Roman" w:cs="Times New Roman"/>
          <w:sz w:val="24"/>
          <w:szCs w:val="24"/>
        </w:rPr>
        <w:t xml:space="preserve"> </w:t>
      </w:r>
      <w:proofErr w:type="spellStart"/>
      <w:r w:rsidRPr="001205AF">
        <w:rPr>
          <w:rFonts w:ascii="Times New Roman" w:eastAsia="Times New Roman" w:hAnsi="Times New Roman" w:cs="Times New Roman"/>
          <w:sz w:val="24"/>
          <w:szCs w:val="24"/>
        </w:rPr>
        <w:t>Komoditi</w:t>
      </w:r>
      <w:proofErr w:type="spellEnd"/>
      <w:r w:rsidRPr="001205AF">
        <w:rPr>
          <w:rFonts w:ascii="Times New Roman" w:eastAsia="Times New Roman" w:hAnsi="Times New Roman" w:cs="Times New Roman"/>
          <w:sz w:val="24"/>
          <w:szCs w:val="24"/>
        </w:rPr>
        <w:t xml:space="preserve"> (</w:t>
      </w:r>
      <w:proofErr w:type="spellStart"/>
      <w:r w:rsidRPr="001205AF">
        <w:rPr>
          <w:rFonts w:ascii="Times New Roman" w:eastAsia="Times New Roman" w:hAnsi="Times New Roman" w:cs="Times New Roman"/>
          <w:sz w:val="24"/>
          <w:szCs w:val="24"/>
        </w:rPr>
        <w:t>Bappebti</w:t>
      </w:r>
      <w:proofErr w:type="spellEnd"/>
      <w:r w:rsidRPr="001205AF">
        <w:rPr>
          <w:rFonts w:ascii="Times New Roman" w:eastAsia="Times New Roman" w:hAnsi="Times New Roman" w:cs="Times New Roman"/>
          <w:sz w:val="24"/>
          <w:szCs w:val="24"/>
        </w:rPr>
        <w:t xml:space="preserve">). (2024). </w:t>
      </w:r>
      <w:proofErr w:type="spellStart"/>
      <w:r w:rsidRPr="001205AF">
        <w:rPr>
          <w:rFonts w:ascii="Times New Roman" w:eastAsia="Times New Roman" w:hAnsi="Times New Roman" w:cs="Times New Roman"/>
          <w:i/>
          <w:sz w:val="24"/>
          <w:szCs w:val="24"/>
        </w:rPr>
        <w:t>Statistik</w:t>
      </w:r>
      <w:proofErr w:type="spellEnd"/>
      <w:r w:rsidRPr="001205AF">
        <w:rPr>
          <w:rFonts w:ascii="Times New Roman" w:eastAsia="Times New Roman" w:hAnsi="Times New Roman" w:cs="Times New Roman"/>
          <w:i/>
          <w:sz w:val="24"/>
          <w:szCs w:val="24"/>
        </w:rPr>
        <w:t xml:space="preserve"> pasar </w:t>
      </w:r>
      <w:proofErr w:type="spellStart"/>
      <w:r w:rsidRPr="001205AF">
        <w:rPr>
          <w:rFonts w:ascii="Times New Roman" w:eastAsia="Times New Roman" w:hAnsi="Times New Roman" w:cs="Times New Roman"/>
          <w:i/>
          <w:sz w:val="24"/>
          <w:szCs w:val="24"/>
        </w:rPr>
        <w:t>aset</w:t>
      </w:r>
      <w:proofErr w:type="spellEnd"/>
      <w:r w:rsidRPr="001205AF">
        <w:rPr>
          <w:rFonts w:ascii="Times New Roman" w:eastAsia="Times New Roman" w:hAnsi="Times New Roman" w:cs="Times New Roman"/>
          <w:i/>
          <w:sz w:val="24"/>
          <w:szCs w:val="24"/>
        </w:rPr>
        <w:t xml:space="preserve"> </w:t>
      </w:r>
      <w:proofErr w:type="spellStart"/>
      <w:r w:rsidRPr="001205AF">
        <w:rPr>
          <w:rFonts w:ascii="Times New Roman" w:eastAsia="Times New Roman" w:hAnsi="Times New Roman" w:cs="Times New Roman"/>
          <w:i/>
          <w:sz w:val="24"/>
          <w:szCs w:val="24"/>
        </w:rPr>
        <w:t>kripto</w:t>
      </w:r>
      <w:proofErr w:type="spellEnd"/>
      <w:r w:rsidRPr="001205AF">
        <w:rPr>
          <w:rFonts w:ascii="Times New Roman" w:eastAsia="Times New Roman" w:hAnsi="Times New Roman" w:cs="Times New Roman"/>
          <w:i/>
          <w:sz w:val="24"/>
          <w:szCs w:val="24"/>
        </w:rPr>
        <w:t xml:space="preserve"> Indonesia 2024</w:t>
      </w:r>
      <w:r w:rsidRPr="001205AF">
        <w:rPr>
          <w:rFonts w:ascii="Times New Roman" w:eastAsia="Times New Roman" w:hAnsi="Times New Roman" w:cs="Times New Roman"/>
          <w:sz w:val="24"/>
          <w:szCs w:val="24"/>
        </w:rPr>
        <w:t>.</w:t>
      </w:r>
    </w:p>
    <w:p w14:paraId="6305FFDC" w14:textId="77777777" w:rsidR="00BB17A0" w:rsidRPr="001205AF" w:rsidRDefault="000556AB" w:rsidP="00337E99">
      <w:pPr>
        <w:spacing w:line="240" w:lineRule="auto"/>
        <w:ind w:left="706" w:hanging="706"/>
        <w:jc w:val="both"/>
        <w:rPr>
          <w:rFonts w:ascii="Times New Roman" w:eastAsia="Times New Roman" w:hAnsi="Times New Roman" w:cs="Times New Roman"/>
          <w:sz w:val="24"/>
          <w:szCs w:val="24"/>
        </w:rPr>
      </w:pPr>
      <w:proofErr w:type="spellStart"/>
      <w:r w:rsidRPr="001205AF">
        <w:rPr>
          <w:rFonts w:ascii="Times New Roman" w:eastAsia="Times New Roman" w:hAnsi="Times New Roman" w:cs="Times New Roman"/>
          <w:sz w:val="24"/>
          <w:szCs w:val="24"/>
        </w:rPr>
        <w:t>Chainalysis</w:t>
      </w:r>
      <w:proofErr w:type="spellEnd"/>
      <w:r w:rsidRPr="001205AF">
        <w:rPr>
          <w:rFonts w:ascii="Times New Roman" w:eastAsia="Times New Roman" w:hAnsi="Times New Roman" w:cs="Times New Roman"/>
          <w:sz w:val="24"/>
          <w:szCs w:val="24"/>
        </w:rPr>
        <w:t xml:space="preserve">. (2023). </w:t>
      </w:r>
      <w:r w:rsidRPr="001205AF">
        <w:rPr>
          <w:rFonts w:ascii="Times New Roman" w:eastAsia="Times New Roman" w:hAnsi="Times New Roman" w:cs="Times New Roman"/>
          <w:i/>
          <w:sz w:val="24"/>
          <w:szCs w:val="24"/>
        </w:rPr>
        <w:t>Crypto crime report 2023</w:t>
      </w:r>
      <w:r w:rsidRPr="001205AF">
        <w:rPr>
          <w:rFonts w:ascii="Times New Roman" w:eastAsia="Times New Roman" w:hAnsi="Times New Roman" w:cs="Times New Roman"/>
          <w:sz w:val="24"/>
          <w:szCs w:val="24"/>
        </w:rPr>
        <w:t xml:space="preserve">. </w:t>
      </w:r>
      <w:proofErr w:type="spellStart"/>
      <w:r w:rsidRPr="001205AF">
        <w:rPr>
          <w:rFonts w:ascii="Times New Roman" w:eastAsia="Times New Roman" w:hAnsi="Times New Roman" w:cs="Times New Roman"/>
          <w:sz w:val="24"/>
          <w:szCs w:val="24"/>
        </w:rPr>
        <w:t>Chainalysis</w:t>
      </w:r>
      <w:proofErr w:type="spellEnd"/>
      <w:r w:rsidRPr="001205AF">
        <w:rPr>
          <w:rFonts w:ascii="Times New Roman" w:eastAsia="Times New Roman" w:hAnsi="Times New Roman" w:cs="Times New Roman"/>
          <w:sz w:val="24"/>
          <w:szCs w:val="24"/>
        </w:rPr>
        <w:t xml:space="preserve"> Inc.</w:t>
      </w:r>
    </w:p>
    <w:p w14:paraId="78358D42" w14:textId="77777777" w:rsidR="00BB17A0" w:rsidRPr="001205AF" w:rsidRDefault="000556AB" w:rsidP="00337E99">
      <w:pPr>
        <w:spacing w:line="240" w:lineRule="auto"/>
        <w:ind w:left="706" w:hanging="706"/>
        <w:jc w:val="both"/>
        <w:rPr>
          <w:rFonts w:ascii="Times New Roman" w:eastAsia="Times New Roman" w:hAnsi="Times New Roman" w:cs="Times New Roman"/>
          <w:sz w:val="24"/>
          <w:szCs w:val="24"/>
        </w:rPr>
      </w:pPr>
      <w:proofErr w:type="spellStart"/>
      <w:r w:rsidRPr="001205AF">
        <w:rPr>
          <w:rFonts w:ascii="Times New Roman" w:eastAsia="Times New Roman" w:hAnsi="Times New Roman" w:cs="Times New Roman"/>
          <w:sz w:val="24"/>
          <w:szCs w:val="24"/>
        </w:rPr>
        <w:t>Chainalysis</w:t>
      </w:r>
      <w:proofErr w:type="spellEnd"/>
      <w:r w:rsidRPr="001205AF">
        <w:rPr>
          <w:rFonts w:ascii="Times New Roman" w:eastAsia="Times New Roman" w:hAnsi="Times New Roman" w:cs="Times New Roman"/>
          <w:sz w:val="24"/>
          <w:szCs w:val="24"/>
        </w:rPr>
        <w:t xml:space="preserve">. (2024). </w:t>
      </w:r>
      <w:r w:rsidRPr="001205AF">
        <w:rPr>
          <w:rFonts w:ascii="Times New Roman" w:eastAsia="Times New Roman" w:hAnsi="Times New Roman" w:cs="Times New Roman"/>
          <w:i/>
          <w:sz w:val="24"/>
          <w:szCs w:val="24"/>
        </w:rPr>
        <w:t>The 2024 geography of cryptocurrency report</w:t>
      </w:r>
      <w:r w:rsidRPr="001205AF">
        <w:rPr>
          <w:rFonts w:ascii="Times New Roman" w:eastAsia="Times New Roman" w:hAnsi="Times New Roman" w:cs="Times New Roman"/>
          <w:sz w:val="24"/>
          <w:szCs w:val="24"/>
        </w:rPr>
        <w:t xml:space="preserve">. </w:t>
      </w:r>
      <w:proofErr w:type="spellStart"/>
      <w:r w:rsidRPr="001205AF">
        <w:rPr>
          <w:rFonts w:ascii="Times New Roman" w:eastAsia="Times New Roman" w:hAnsi="Times New Roman" w:cs="Times New Roman"/>
          <w:sz w:val="24"/>
          <w:szCs w:val="24"/>
        </w:rPr>
        <w:t>Chainalysis</w:t>
      </w:r>
      <w:proofErr w:type="spellEnd"/>
      <w:r w:rsidRPr="001205AF">
        <w:rPr>
          <w:rFonts w:ascii="Times New Roman" w:eastAsia="Times New Roman" w:hAnsi="Times New Roman" w:cs="Times New Roman"/>
          <w:sz w:val="24"/>
          <w:szCs w:val="24"/>
        </w:rPr>
        <w:t xml:space="preserve"> Inc.</w:t>
      </w:r>
    </w:p>
    <w:p w14:paraId="39792439" w14:textId="75ADF23D" w:rsidR="00BB17A0" w:rsidRPr="001205AF" w:rsidRDefault="000556AB" w:rsidP="00337E99">
      <w:pPr>
        <w:spacing w:line="240" w:lineRule="auto"/>
        <w:ind w:left="706" w:hanging="706"/>
        <w:jc w:val="both"/>
        <w:rPr>
          <w:rFonts w:ascii="Times New Roman" w:eastAsia="Times New Roman" w:hAnsi="Times New Roman" w:cs="Times New Roman"/>
          <w:sz w:val="24"/>
          <w:szCs w:val="24"/>
        </w:rPr>
      </w:pPr>
      <w:r w:rsidRPr="001205AF">
        <w:rPr>
          <w:rFonts w:ascii="Times New Roman" w:eastAsia="Times New Roman" w:hAnsi="Times New Roman" w:cs="Times New Roman"/>
          <w:sz w:val="24"/>
          <w:szCs w:val="24"/>
        </w:rPr>
        <w:t xml:space="preserve">Compound Labs. (2023). </w:t>
      </w:r>
      <w:r w:rsidRPr="001205AF">
        <w:rPr>
          <w:rFonts w:ascii="Times New Roman" w:eastAsia="Times New Roman" w:hAnsi="Times New Roman" w:cs="Times New Roman"/>
          <w:i/>
          <w:sz w:val="24"/>
          <w:szCs w:val="24"/>
        </w:rPr>
        <w:t>Compound Treasury: Compliance and risk framework</w:t>
      </w:r>
      <w:r w:rsidRPr="001205AF">
        <w:rPr>
          <w:rFonts w:ascii="Times New Roman" w:eastAsia="Times New Roman" w:hAnsi="Times New Roman" w:cs="Times New Roman"/>
          <w:sz w:val="24"/>
          <w:szCs w:val="24"/>
        </w:rPr>
        <w:t xml:space="preserve"> (</w:t>
      </w:r>
      <w:r w:rsidR="00CF3ADB" w:rsidRPr="00CF3ADB">
        <w:rPr>
          <w:rFonts w:ascii="Times New Roman" w:eastAsia="Times New Roman" w:hAnsi="Times New Roman" w:cs="Times New Roman"/>
          <w:sz w:val="24"/>
          <w:szCs w:val="24"/>
        </w:rPr>
        <w:t>Official documentation</w:t>
      </w:r>
      <w:r w:rsidRPr="001205AF">
        <w:rPr>
          <w:rFonts w:ascii="Times New Roman" w:eastAsia="Times New Roman" w:hAnsi="Times New Roman" w:cs="Times New Roman"/>
          <w:sz w:val="24"/>
          <w:szCs w:val="24"/>
        </w:rPr>
        <w:t>). Compound Labs.</w:t>
      </w:r>
    </w:p>
    <w:p w14:paraId="776F734C" w14:textId="21F73FF8" w:rsidR="00BB17A0" w:rsidRPr="001205AF" w:rsidRDefault="000556AB" w:rsidP="00337E99">
      <w:pPr>
        <w:spacing w:line="240" w:lineRule="auto"/>
        <w:ind w:left="706" w:hanging="706"/>
        <w:jc w:val="both"/>
        <w:rPr>
          <w:rFonts w:ascii="Times New Roman" w:eastAsia="Times New Roman" w:hAnsi="Times New Roman" w:cs="Times New Roman"/>
          <w:sz w:val="24"/>
          <w:szCs w:val="24"/>
        </w:rPr>
      </w:pPr>
      <w:r w:rsidRPr="001205AF">
        <w:rPr>
          <w:rFonts w:ascii="Times New Roman" w:eastAsia="Times New Roman" w:hAnsi="Times New Roman" w:cs="Times New Roman"/>
          <w:sz w:val="24"/>
          <w:szCs w:val="24"/>
        </w:rPr>
        <w:t xml:space="preserve">Cortese, A. (2011). </w:t>
      </w:r>
      <w:r w:rsidRPr="001205AF">
        <w:rPr>
          <w:rFonts w:ascii="Times New Roman" w:eastAsia="Times New Roman" w:hAnsi="Times New Roman" w:cs="Times New Roman"/>
          <w:i/>
          <w:sz w:val="24"/>
          <w:szCs w:val="24"/>
        </w:rPr>
        <w:t>Regulatory capture: Risks and remedies in financial regulation</w:t>
      </w:r>
      <w:r w:rsidRPr="001205AF">
        <w:rPr>
          <w:rFonts w:ascii="Times New Roman" w:eastAsia="Times New Roman" w:hAnsi="Times New Roman" w:cs="Times New Roman"/>
          <w:sz w:val="24"/>
          <w:szCs w:val="24"/>
        </w:rPr>
        <w:t>. (</w:t>
      </w:r>
      <w:r w:rsidR="00CF3ADB" w:rsidRPr="00CF3ADB">
        <w:rPr>
          <w:rFonts w:ascii="Times New Roman" w:eastAsia="Times New Roman" w:hAnsi="Times New Roman" w:cs="Times New Roman"/>
          <w:sz w:val="24"/>
          <w:szCs w:val="24"/>
        </w:rPr>
        <w:t>Policy report/monograph</w:t>
      </w:r>
      <w:r w:rsidRPr="001205AF">
        <w:rPr>
          <w:rFonts w:ascii="Times New Roman" w:eastAsia="Times New Roman" w:hAnsi="Times New Roman" w:cs="Times New Roman"/>
          <w:sz w:val="24"/>
          <w:szCs w:val="24"/>
        </w:rPr>
        <w:t>).</w:t>
      </w:r>
    </w:p>
    <w:p w14:paraId="09A72D96" w14:textId="632796A1" w:rsidR="00BB17A0" w:rsidRPr="001205AF" w:rsidRDefault="000556AB" w:rsidP="00337E99">
      <w:pPr>
        <w:spacing w:line="240" w:lineRule="auto"/>
        <w:ind w:left="706" w:hanging="706"/>
        <w:jc w:val="both"/>
        <w:rPr>
          <w:rFonts w:ascii="Times New Roman" w:eastAsia="Times New Roman" w:hAnsi="Times New Roman" w:cs="Times New Roman"/>
          <w:sz w:val="24"/>
          <w:szCs w:val="24"/>
          <w:highlight w:val="white"/>
        </w:rPr>
      </w:pPr>
      <w:r w:rsidRPr="001205AF">
        <w:rPr>
          <w:rFonts w:ascii="Times New Roman" w:eastAsia="Times New Roman" w:hAnsi="Times New Roman" w:cs="Times New Roman"/>
          <w:sz w:val="24"/>
          <w:szCs w:val="24"/>
          <w:highlight w:val="white"/>
        </w:rPr>
        <w:t xml:space="preserve">Elliott, K., </w:t>
      </w:r>
      <w:proofErr w:type="spellStart"/>
      <w:r w:rsidRPr="001205AF">
        <w:rPr>
          <w:rFonts w:ascii="Times New Roman" w:eastAsia="Times New Roman" w:hAnsi="Times New Roman" w:cs="Times New Roman"/>
          <w:sz w:val="24"/>
          <w:szCs w:val="24"/>
          <w:highlight w:val="white"/>
        </w:rPr>
        <w:t>Coopamootoo</w:t>
      </w:r>
      <w:proofErr w:type="spellEnd"/>
      <w:r w:rsidRPr="001205AF">
        <w:rPr>
          <w:rFonts w:ascii="Times New Roman" w:eastAsia="Times New Roman" w:hAnsi="Times New Roman" w:cs="Times New Roman"/>
          <w:sz w:val="24"/>
          <w:szCs w:val="24"/>
          <w:highlight w:val="white"/>
        </w:rPr>
        <w:t xml:space="preserve">, K., Curran, E., </w:t>
      </w:r>
      <w:proofErr w:type="spellStart"/>
      <w:r w:rsidRPr="001205AF">
        <w:rPr>
          <w:rFonts w:ascii="Times New Roman" w:eastAsia="Times New Roman" w:hAnsi="Times New Roman" w:cs="Times New Roman"/>
          <w:sz w:val="24"/>
          <w:szCs w:val="24"/>
          <w:highlight w:val="white"/>
        </w:rPr>
        <w:t>Ezhilchelvan</w:t>
      </w:r>
      <w:proofErr w:type="spellEnd"/>
      <w:r w:rsidRPr="001205AF">
        <w:rPr>
          <w:rFonts w:ascii="Times New Roman" w:eastAsia="Times New Roman" w:hAnsi="Times New Roman" w:cs="Times New Roman"/>
          <w:sz w:val="24"/>
          <w:szCs w:val="24"/>
          <w:highlight w:val="white"/>
        </w:rPr>
        <w:t xml:space="preserve">, P., Finnigan, S., Horsfall, D., … van </w:t>
      </w:r>
      <w:proofErr w:type="spellStart"/>
      <w:r w:rsidRPr="001205AF">
        <w:rPr>
          <w:rFonts w:ascii="Times New Roman" w:eastAsia="Times New Roman" w:hAnsi="Times New Roman" w:cs="Times New Roman"/>
          <w:sz w:val="24"/>
          <w:szCs w:val="24"/>
          <w:highlight w:val="white"/>
        </w:rPr>
        <w:t>Moorsel</w:t>
      </w:r>
      <w:proofErr w:type="spellEnd"/>
      <w:r w:rsidRPr="001205AF">
        <w:rPr>
          <w:rFonts w:ascii="Times New Roman" w:eastAsia="Times New Roman" w:hAnsi="Times New Roman" w:cs="Times New Roman"/>
          <w:sz w:val="24"/>
          <w:szCs w:val="24"/>
          <w:highlight w:val="white"/>
        </w:rPr>
        <w:t xml:space="preserve">, A. (2022). Know Your Customer: Balancing innovation and regulation for financial inclusion. </w:t>
      </w:r>
      <w:r w:rsidRPr="001205AF">
        <w:rPr>
          <w:rFonts w:ascii="Times New Roman" w:eastAsia="Times New Roman" w:hAnsi="Times New Roman" w:cs="Times New Roman"/>
          <w:i/>
          <w:sz w:val="24"/>
          <w:szCs w:val="24"/>
          <w:highlight w:val="white"/>
        </w:rPr>
        <w:t>Data &amp; Policy</w:t>
      </w:r>
      <w:r w:rsidRPr="001205AF">
        <w:rPr>
          <w:rFonts w:ascii="Times New Roman" w:eastAsia="Times New Roman" w:hAnsi="Times New Roman" w:cs="Times New Roman"/>
          <w:sz w:val="24"/>
          <w:szCs w:val="24"/>
          <w:highlight w:val="white"/>
        </w:rPr>
        <w:t xml:space="preserve">, </w:t>
      </w:r>
      <w:r w:rsidRPr="001205AF">
        <w:rPr>
          <w:rFonts w:ascii="Times New Roman" w:eastAsia="Times New Roman" w:hAnsi="Times New Roman" w:cs="Times New Roman"/>
          <w:i/>
          <w:sz w:val="24"/>
          <w:szCs w:val="24"/>
          <w:highlight w:val="white"/>
        </w:rPr>
        <w:t>4</w:t>
      </w:r>
      <w:r w:rsidRPr="001205AF">
        <w:rPr>
          <w:rFonts w:ascii="Times New Roman" w:eastAsia="Times New Roman" w:hAnsi="Times New Roman" w:cs="Times New Roman"/>
          <w:sz w:val="24"/>
          <w:szCs w:val="24"/>
          <w:highlight w:val="white"/>
        </w:rPr>
        <w:t xml:space="preserve">, e34. </w:t>
      </w:r>
      <w:hyperlink r:id="rId8">
        <w:r w:rsidRPr="001205AF">
          <w:rPr>
            <w:rFonts w:ascii="Times New Roman" w:eastAsia="Times New Roman" w:hAnsi="Times New Roman" w:cs="Times New Roman"/>
            <w:sz w:val="24"/>
            <w:szCs w:val="24"/>
            <w:highlight w:val="white"/>
          </w:rPr>
          <w:t>https://doi.org/10.1017/dap.2022.23</w:t>
        </w:r>
      </w:hyperlink>
      <w:r w:rsidRPr="001205AF">
        <w:rPr>
          <w:rFonts w:ascii="Times New Roman" w:eastAsia="Times New Roman" w:hAnsi="Times New Roman" w:cs="Times New Roman"/>
          <w:sz w:val="24"/>
          <w:szCs w:val="24"/>
          <w:highlight w:val="white"/>
        </w:rPr>
        <w:t xml:space="preserve"> </w:t>
      </w:r>
    </w:p>
    <w:p w14:paraId="6D8C9A72" w14:textId="77777777" w:rsidR="00BB17A0" w:rsidRPr="001205AF" w:rsidRDefault="000556AB" w:rsidP="00337E99">
      <w:pPr>
        <w:spacing w:line="240" w:lineRule="auto"/>
        <w:ind w:left="706" w:hanging="706"/>
        <w:jc w:val="both"/>
        <w:rPr>
          <w:rFonts w:ascii="Times New Roman" w:eastAsia="Times New Roman" w:hAnsi="Times New Roman" w:cs="Times New Roman"/>
          <w:sz w:val="24"/>
          <w:szCs w:val="24"/>
        </w:rPr>
      </w:pPr>
      <w:r w:rsidRPr="001205AF">
        <w:rPr>
          <w:rFonts w:ascii="Times New Roman" w:eastAsia="Times New Roman" w:hAnsi="Times New Roman" w:cs="Times New Roman"/>
          <w:sz w:val="24"/>
          <w:szCs w:val="24"/>
        </w:rPr>
        <w:t xml:space="preserve">FATF. (2019). </w:t>
      </w:r>
      <w:r w:rsidRPr="001205AF">
        <w:rPr>
          <w:rFonts w:ascii="Times New Roman" w:eastAsia="Times New Roman" w:hAnsi="Times New Roman" w:cs="Times New Roman"/>
          <w:i/>
          <w:sz w:val="24"/>
          <w:szCs w:val="24"/>
        </w:rPr>
        <w:t>Guidance for a risk-based approach to virtual assets and virtual asset service providers</w:t>
      </w:r>
      <w:r w:rsidRPr="001205AF">
        <w:rPr>
          <w:rFonts w:ascii="Times New Roman" w:eastAsia="Times New Roman" w:hAnsi="Times New Roman" w:cs="Times New Roman"/>
          <w:sz w:val="24"/>
          <w:szCs w:val="24"/>
        </w:rPr>
        <w:t>. Financial Action Task Force.</w:t>
      </w:r>
    </w:p>
    <w:p w14:paraId="460E0824" w14:textId="77777777" w:rsidR="00BB17A0" w:rsidRPr="001205AF" w:rsidRDefault="000556AB" w:rsidP="00337E99">
      <w:pPr>
        <w:spacing w:line="240" w:lineRule="auto"/>
        <w:ind w:left="706" w:hanging="706"/>
        <w:jc w:val="both"/>
        <w:rPr>
          <w:rFonts w:ascii="Times New Roman" w:eastAsia="Times New Roman" w:hAnsi="Times New Roman" w:cs="Times New Roman"/>
          <w:sz w:val="24"/>
          <w:szCs w:val="24"/>
        </w:rPr>
      </w:pPr>
      <w:r w:rsidRPr="001205AF">
        <w:rPr>
          <w:rFonts w:ascii="Times New Roman" w:eastAsia="Times New Roman" w:hAnsi="Times New Roman" w:cs="Times New Roman"/>
          <w:sz w:val="24"/>
          <w:szCs w:val="24"/>
        </w:rPr>
        <w:t xml:space="preserve">FATF. (2023). </w:t>
      </w:r>
      <w:r w:rsidRPr="001205AF">
        <w:rPr>
          <w:rFonts w:ascii="Times New Roman" w:eastAsia="Times New Roman" w:hAnsi="Times New Roman" w:cs="Times New Roman"/>
          <w:i/>
          <w:sz w:val="24"/>
          <w:szCs w:val="24"/>
        </w:rPr>
        <w:t>Updated guidance for a risk-based approach to virtual assets and VASPs</w:t>
      </w:r>
      <w:r w:rsidRPr="001205AF">
        <w:rPr>
          <w:rFonts w:ascii="Times New Roman" w:eastAsia="Times New Roman" w:hAnsi="Times New Roman" w:cs="Times New Roman"/>
          <w:sz w:val="24"/>
          <w:szCs w:val="24"/>
        </w:rPr>
        <w:t xml:space="preserve">; </w:t>
      </w:r>
      <w:proofErr w:type="spellStart"/>
      <w:r w:rsidRPr="001205AF">
        <w:rPr>
          <w:rFonts w:ascii="Times New Roman" w:eastAsia="Times New Roman" w:hAnsi="Times New Roman" w:cs="Times New Roman"/>
          <w:sz w:val="24"/>
          <w:szCs w:val="24"/>
        </w:rPr>
        <w:t>serta</w:t>
      </w:r>
      <w:proofErr w:type="spellEnd"/>
      <w:r w:rsidRPr="001205AF">
        <w:rPr>
          <w:rFonts w:ascii="Times New Roman" w:eastAsia="Times New Roman" w:hAnsi="Times New Roman" w:cs="Times New Roman"/>
          <w:sz w:val="24"/>
          <w:szCs w:val="24"/>
        </w:rPr>
        <w:t xml:space="preserve"> </w:t>
      </w:r>
      <w:r w:rsidRPr="001205AF">
        <w:rPr>
          <w:rFonts w:ascii="Times New Roman" w:eastAsia="Times New Roman" w:hAnsi="Times New Roman" w:cs="Times New Roman"/>
          <w:i/>
          <w:sz w:val="24"/>
          <w:szCs w:val="24"/>
        </w:rPr>
        <w:t>Travel Rule guidance</w:t>
      </w:r>
      <w:r w:rsidRPr="001205AF">
        <w:rPr>
          <w:rFonts w:ascii="Times New Roman" w:eastAsia="Times New Roman" w:hAnsi="Times New Roman" w:cs="Times New Roman"/>
          <w:sz w:val="24"/>
          <w:szCs w:val="24"/>
        </w:rPr>
        <w:t>. Financial Action Task Force.</w:t>
      </w:r>
    </w:p>
    <w:p w14:paraId="235B2951" w14:textId="77777777" w:rsidR="00BB17A0" w:rsidRPr="001205AF" w:rsidRDefault="000556AB" w:rsidP="00337E99">
      <w:pPr>
        <w:spacing w:line="240" w:lineRule="auto"/>
        <w:ind w:left="706" w:hanging="706"/>
        <w:jc w:val="both"/>
        <w:rPr>
          <w:rFonts w:ascii="Times New Roman" w:eastAsia="Times New Roman" w:hAnsi="Times New Roman" w:cs="Times New Roman"/>
          <w:sz w:val="24"/>
          <w:szCs w:val="24"/>
          <w:highlight w:val="white"/>
        </w:rPr>
      </w:pPr>
      <w:r w:rsidRPr="001205AF">
        <w:rPr>
          <w:rFonts w:ascii="Times New Roman" w:eastAsia="Times New Roman" w:hAnsi="Times New Roman" w:cs="Times New Roman"/>
          <w:sz w:val="24"/>
          <w:szCs w:val="24"/>
          <w:highlight w:val="white"/>
        </w:rPr>
        <w:t xml:space="preserve">Holland, J. H. (1992). Complex Adaptive Systems. </w:t>
      </w:r>
      <w:r w:rsidRPr="001205AF">
        <w:rPr>
          <w:rFonts w:ascii="Times New Roman" w:eastAsia="Times New Roman" w:hAnsi="Times New Roman" w:cs="Times New Roman"/>
          <w:i/>
          <w:sz w:val="24"/>
          <w:szCs w:val="24"/>
          <w:highlight w:val="white"/>
        </w:rPr>
        <w:t>Daedalus</w:t>
      </w:r>
      <w:r w:rsidRPr="001205AF">
        <w:rPr>
          <w:rFonts w:ascii="Times New Roman" w:eastAsia="Times New Roman" w:hAnsi="Times New Roman" w:cs="Times New Roman"/>
          <w:sz w:val="24"/>
          <w:szCs w:val="24"/>
          <w:highlight w:val="white"/>
        </w:rPr>
        <w:t xml:space="preserve">, </w:t>
      </w:r>
      <w:r w:rsidRPr="001205AF">
        <w:rPr>
          <w:rFonts w:ascii="Times New Roman" w:eastAsia="Times New Roman" w:hAnsi="Times New Roman" w:cs="Times New Roman"/>
          <w:i/>
          <w:sz w:val="24"/>
          <w:szCs w:val="24"/>
          <w:highlight w:val="white"/>
        </w:rPr>
        <w:t>121</w:t>
      </w:r>
      <w:r w:rsidRPr="001205AF">
        <w:rPr>
          <w:rFonts w:ascii="Times New Roman" w:eastAsia="Times New Roman" w:hAnsi="Times New Roman" w:cs="Times New Roman"/>
          <w:sz w:val="24"/>
          <w:szCs w:val="24"/>
          <w:highlight w:val="white"/>
        </w:rPr>
        <w:t xml:space="preserve">(1), 17–30. </w:t>
      </w:r>
      <w:hyperlink r:id="rId9">
        <w:r w:rsidRPr="001205AF">
          <w:rPr>
            <w:rFonts w:ascii="Times New Roman" w:eastAsia="Times New Roman" w:hAnsi="Times New Roman" w:cs="Times New Roman"/>
            <w:sz w:val="24"/>
            <w:szCs w:val="24"/>
            <w:highlight w:val="white"/>
          </w:rPr>
          <w:t>http://www.jstor.org/stable/20025416</w:t>
        </w:r>
      </w:hyperlink>
      <w:r w:rsidRPr="001205AF">
        <w:rPr>
          <w:rFonts w:ascii="Times New Roman" w:eastAsia="Times New Roman" w:hAnsi="Times New Roman" w:cs="Times New Roman"/>
          <w:sz w:val="24"/>
          <w:szCs w:val="24"/>
          <w:highlight w:val="white"/>
        </w:rPr>
        <w:t xml:space="preserve"> </w:t>
      </w:r>
    </w:p>
    <w:p w14:paraId="7B4CD2E7" w14:textId="1FFBAC72" w:rsidR="00BB17A0" w:rsidRPr="001205AF" w:rsidRDefault="000556AB" w:rsidP="00337E99">
      <w:pPr>
        <w:spacing w:line="240" w:lineRule="auto"/>
        <w:ind w:left="706" w:hanging="706"/>
        <w:jc w:val="both"/>
        <w:rPr>
          <w:rFonts w:ascii="Times New Roman" w:eastAsia="Times New Roman" w:hAnsi="Times New Roman" w:cs="Times New Roman"/>
          <w:sz w:val="24"/>
          <w:szCs w:val="24"/>
        </w:rPr>
      </w:pPr>
      <w:r w:rsidRPr="001205AF">
        <w:rPr>
          <w:rFonts w:ascii="Times New Roman" w:eastAsia="Times New Roman" w:hAnsi="Times New Roman" w:cs="Times New Roman"/>
          <w:sz w:val="24"/>
          <w:szCs w:val="24"/>
        </w:rPr>
        <w:t xml:space="preserve">Kahneman, D., &amp; Tversky, A. (2013). Prospect theory: An analysis of decision under risk. </w:t>
      </w:r>
      <w:proofErr w:type="spellStart"/>
      <w:r w:rsidRPr="001205AF">
        <w:rPr>
          <w:rFonts w:ascii="Times New Roman" w:eastAsia="Times New Roman" w:hAnsi="Times New Roman" w:cs="Times New Roman"/>
          <w:sz w:val="24"/>
          <w:szCs w:val="24"/>
        </w:rPr>
        <w:t>Dalam</w:t>
      </w:r>
      <w:proofErr w:type="spellEnd"/>
      <w:r w:rsidRPr="001205AF">
        <w:rPr>
          <w:rFonts w:ascii="Times New Roman" w:eastAsia="Times New Roman" w:hAnsi="Times New Roman" w:cs="Times New Roman"/>
          <w:sz w:val="24"/>
          <w:szCs w:val="24"/>
        </w:rPr>
        <w:t xml:space="preserve"> H. K. Baker &amp; J. R. Nofsinger (Eds.), </w:t>
      </w:r>
      <w:r w:rsidRPr="001205AF">
        <w:rPr>
          <w:rFonts w:ascii="Times New Roman" w:eastAsia="Times New Roman" w:hAnsi="Times New Roman" w:cs="Times New Roman"/>
          <w:i/>
          <w:sz w:val="24"/>
          <w:szCs w:val="24"/>
        </w:rPr>
        <w:t>The handbook of the fundamentals of financial decision making</w:t>
      </w:r>
      <w:r w:rsidRPr="001205AF">
        <w:rPr>
          <w:rFonts w:ascii="Times New Roman" w:eastAsia="Times New Roman" w:hAnsi="Times New Roman" w:cs="Times New Roman"/>
          <w:sz w:val="24"/>
          <w:szCs w:val="24"/>
        </w:rPr>
        <w:t xml:space="preserve"> (pp. 99–127). World Scientific. (</w:t>
      </w:r>
      <w:r w:rsidR="00CF3ADB" w:rsidRPr="00CF3ADB">
        <w:rPr>
          <w:rFonts w:ascii="Times New Roman" w:eastAsia="Times New Roman" w:hAnsi="Times New Roman" w:cs="Times New Roman"/>
          <w:sz w:val="24"/>
          <w:szCs w:val="24"/>
        </w:rPr>
        <w:t>Reprint of the 1979 article</w:t>
      </w:r>
      <w:r w:rsidRPr="001205AF">
        <w:rPr>
          <w:rFonts w:ascii="Times New Roman" w:eastAsia="Times New Roman" w:hAnsi="Times New Roman" w:cs="Times New Roman"/>
          <w:sz w:val="24"/>
          <w:szCs w:val="24"/>
        </w:rPr>
        <w:t>).</w:t>
      </w:r>
    </w:p>
    <w:p w14:paraId="4D43D6E3" w14:textId="77777777" w:rsidR="00BB17A0" w:rsidRPr="001205AF" w:rsidRDefault="000556AB" w:rsidP="00337E99">
      <w:pPr>
        <w:spacing w:line="240" w:lineRule="auto"/>
        <w:ind w:left="706" w:hanging="706"/>
        <w:jc w:val="both"/>
        <w:rPr>
          <w:rFonts w:ascii="Times New Roman" w:eastAsia="Times New Roman" w:hAnsi="Times New Roman" w:cs="Times New Roman"/>
          <w:sz w:val="24"/>
          <w:szCs w:val="24"/>
          <w:highlight w:val="white"/>
        </w:rPr>
      </w:pPr>
      <w:r w:rsidRPr="001205AF">
        <w:rPr>
          <w:rFonts w:ascii="Times New Roman" w:eastAsia="Times New Roman" w:hAnsi="Times New Roman" w:cs="Times New Roman"/>
          <w:sz w:val="24"/>
          <w:szCs w:val="24"/>
          <w:highlight w:val="white"/>
        </w:rPr>
        <w:t xml:space="preserve">Keen, M. &amp; </w:t>
      </w:r>
      <w:proofErr w:type="spellStart"/>
      <w:r w:rsidRPr="001205AF">
        <w:rPr>
          <w:rFonts w:ascii="Times New Roman" w:eastAsia="Times New Roman" w:hAnsi="Times New Roman" w:cs="Times New Roman"/>
          <w:sz w:val="24"/>
          <w:szCs w:val="24"/>
          <w:highlight w:val="white"/>
        </w:rPr>
        <w:t>Slemrod</w:t>
      </w:r>
      <w:proofErr w:type="spellEnd"/>
      <w:r w:rsidRPr="001205AF">
        <w:rPr>
          <w:rFonts w:ascii="Times New Roman" w:eastAsia="Times New Roman" w:hAnsi="Times New Roman" w:cs="Times New Roman"/>
          <w:sz w:val="24"/>
          <w:szCs w:val="24"/>
          <w:highlight w:val="white"/>
        </w:rPr>
        <w:t xml:space="preserve">, J. (2017). Optimal tax administration. </w:t>
      </w:r>
      <w:r w:rsidRPr="001205AF">
        <w:rPr>
          <w:rFonts w:ascii="Times New Roman" w:eastAsia="Times New Roman" w:hAnsi="Times New Roman" w:cs="Times New Roman"/>
          <w:i/>
          <w:sz w:val="24"/>
          <w:szCs w:val="24"/>
          <w:highlight w:val="white"/>
        </w:rPr>
        <w:t>Journal of Public Economics</w:t>
      </w:r>
      <w:r w:rsidRPr="001205AF">
        <w:rPr>
          <w:rFonts w:ascii="Times New Roman" w:eastAsia="Times New Roman" w:hAnsi="Times New Roman" w:cs="Times New Roman"/>
          <w:sz w:val="24"/>
          <w:szCs w:val="24"/>
          <w:highlight w:val="white"/>
        </w:rPr>
        <w:t xml:space="preserve">. Volume 152: 133-142. </w:t>
      </w:r>
      <w:hyperlink r:id="rId10">
        <w:r w:rsidRPr="001205AF">
          <w:rPr>
            <w:rFonts w:ascii="Times New Roman" w:eastAsia="Times New Roman" w:hAnsi="Times New Roman" w:cs="Times New Roman"/>
            <w:sz w:val="24"/>
            <w:szCs w:val="24"/>
            <w:highlight w:val="white"/>
          </w:rPr>
          <w:t>https://doi.org/10.1016/j.jpubeco.2017.04.006</w:t>
        </w:r>
      </w:hyperlink>
      <w:r w:rsidRPr="001205AF">
        <w:rPr>
          <w:rFonts w:ascii="Times New Roman" w:eastAsia="Times New Roman" w:hAnsi="Times New Roman" w:cs="Times New Roman"/>
          <w:sz w:val="24"/>
          <w:szCs w:val="24"/>
          <w:highlight w:val="white"/>
        </w:rPr>
        <w:t xml:space="preserve"> </w:t>
      </w:r>
    </w:p>
    <w:p w14:paraId="3E979CC1" w14:textId="4E8C0AAE" w:rsidR="00BB17A0" w:rsidRPr="001205AF" w:rsidRDefault="000556AB" w:rsidP="00337E99">
      <w:pPr>
        <w:spacing w:line="240" w:lineRule="auto"/>
        <w:ind w:left="706" w:hanging="706"/>
        <w:jc w:val="both"/>
        <w:rPr>
          <w:rFonts w:ascii="Times New Roman" w:eastAsia="Times New Roman" w:hAnsi="Times New Roman" w:cs="Times New Roman"/>
          <w:sz w:val="24"/>
          <w:szCs w:val="24"/>
        </w:rPr>
      </w:pPr>
      <w:proofErr w:type="spellStart"/>
      <w:r w:rsidRPr="001205AF">
        <w:rPr>
          <w:rFonts w:ascii="Times New Roman" w:eastAsia="Times New Roman" w:hAnsi="Times New Roman" w:cs="Times New Roman"/>
          <w:sz w:val="24"/>
          <w:szCs w:val="24"/>
        </w:rPr>
        <w:t>Kirchler</w:t>
      </w:r>
      <w:proofErr w:type="spellEnd"/>
      <w:r w:rsidRPr="001205AF">
        <w:rPr>
          <w:rFonts w:ascii="Times New Roman" w:eastAsia="Times New Roman" w:hAnsi="Times New Roman" w:cs="Times New Roman"/>
          <w:sz w:val="24"/>
          <w:szCs w:val="24"/>
        </w:rPr>
        <w:t xml:space="preserve">, E. (2007). </w:t>
      </w:r>
      <w:r w:rsidRPr="001205AF">
        <w:rPr>
          <w:rFonts w:ascii="Times New Roman" w:eastAsia="Times New Roman" w:hAnsi="Times New Roman" w:cs="Times New Roman"/>
          <w:i/>
          <w:sz w:val="24"/>
          <w:szCs w:val="24"/>
        </w:rPr>
        <w:t xml:space="preserve">The economic psychology of tax </w:t>
      </w:r>
      <w:r w:rsidR="00131E68" w:rsidRPr="001205AF">
        <w:rPr>
          <w:rFonts w:ascii="Times New Roman" w:eastAsia="Times New Roman" w:hAnsi="Times New Roman" w:cs="Times New Roman"/>
          <w:i/>
          <w:sz w:val="24"/>
          <w:szCs w:val="24"/>
        </w:rPr>
        <w:t>behavior</w:t>
      </w:r>
      <w:r w:rsidRPr="001205AF">
        <w:rPr>
          <w:rFonts w:ascii="Times New Roman" w:eastAsia="Times New Roman" w:hAnsi="Times New Roman" w:cs="Times New Roman"/>
          <w:sz w:val="24"/>
          <w:szCs w:val="24"/>
        </w:rPr>
        <w:t>. Cambridge University Press.</w:t>
      </w:r>
    </w:p>
    <w:p w14:paraId="0EC1B3ED" w14:textId="77777777" w:rsidR="00CF3ADB" w:rsidRDefault="00CF3ADB" w:rsidP="00337E99">
      <w:pPr>
        <w:spacing w:line="240" w:lineRule="auto"/>
        <w:ind w:left="706" w:hanging="706"/>
        <w:jc w:val="both"/>
        <w:rPr>
          <w:rFonts w:ascii="Times New Roman" w:eastAsia="Times New Roman" w:hAnsi="Times New Roman" w:cs="Times New Roman"/>
          <w:sz w:val="24"/>
          <w:szCs w:val="24"/>
        </w:rPr>
      </w:pPr>
      <w:r w:rsidRPr="00CF3ADB">
        <w:rPr>
          <w:rFonts w:ascii="Times New Roman" w:eastAsia="Times New Roman" w:hAnsi="Times New Roman" w:cs="Times New Roman"/>
          <w:sz w:val="24"/>
          <w:szCs w:val="24"/>
        </w:rPr>
        <w:t>Law of the Republic of Indonesia Number 4 of 2023 on the Development and Strengthening of the Financial Sector.</w:t>
      </w:r>
    </w:p>
    <w:p w14:paraId="59656D3B" w14:textId="77777777" w:rsidR="00BB17A0" w:rsidRPr="001205AF" w:rsidRDefault="000556AB" w:rsidP="00337E99">
      <w:pPr>
        <w:spacing w:line="240" w:lineRule="auto"/>
        <w:ind w:left="706" w:hanging="706"/>
        <w:jc w:val="both"/>
        <w:rPr>
          <w:rFonts w:ascii="Times New Roman" w:eastAsia="Times New Roman" w:hAnsi="Times New Roman" w:cs="Times New Roman"/>
          <w:sz w:val="24"/>
          <w:szCs w:val="24"/>
        </w:rPr>
      </w:pPr>
      <w:r w:rsidRPr="001205AF">
        <w:rPr>
          <w:rFonts w:ascii="Times New Roman" w:eastAsia="Times New Roman" w:hAnsi="Times New Roman" w:cs="Times New Roman"/>
          <w:sz w:val="24"/>
          <w:szCs w:val="24"/>
        </w:rPr>
        <w:t xml:space="preserve">Makarov, I. &amp; Scholar, A. (2022). Cryptocurrencies and Decentralized Finance (DeFi). </w:t>
      </w:r>
      <w:r w:rsidRPr="001205AF">
        <w:rPr>
          <w:rFonts w:ascii="Times New Roman" w:eastAsia="Times New Roman" w:hAnsi="Times New Roman" w:cs="Times New Roman"/>
          <w:i/>
          <w:sz w:val="24"/>
          <w:szCs w:val="24"/>
        </w:rPr>
        <w:t>Brookings Papers on Economic Activity</w:t>
      </w:r>
      <w:r w:rsidRPr="001205AF">
        <w:rPr>
          <w:rFonts w:ascii="Times New Roman" w:eastAsia="Times New Roman" w:hAnsi="Times New Roman" w:cs="Times New Roman"/>
          <w:sz w:val="24"/>
          <w:szCs w:val="24"/>
        </w:rPr>
        <w:t>, Spring 2022: 141–196.</w:t>
      </w:r>
    </w:p>
    <w:p w14:paraId="08DA03ED" w14:textId="77777777" w:rsidR="00CF3ADB" w:rsidRPr="00CF3ADB" w:rsidRDefault="00CF3ADB" w:rsidP="00337E99">
      <w:pPr>
        <w:spacing w:line="240" w:lineRule="auto"/>
        <w:ind w:left="706" w:hanging="706"/>
        <w:jc w:val="both"/>
        <w:rPr>
          <w:rFonts w:ascii="Times New Roman" w:eastAsia="Times New Roman" w:hAnsi="Times New Roman" w:cs="Times New Roman"/>
          <w:sz w:val="24"/>
          <w:szCs w:val="24"/>
        </w:rPr>
      </w:pPr>
      <w:r w:rsidRPr="00CF3ADB">
        <w:rPr>
          <w:rFonts w:ascii="Times New Roman" w:eastAsia="Times New Roman" w:hAnsi="Times New Roman" w:cs="Times New Roman"/>
          <w:sz w:val="24"/>
          <w:szCs w:val="24"/>
        </w:rPr>
        <w:t>Minister of Finance Regulation of the Republic of Indonesia Number 50 of 2025 on Value-Added Tax and Income Tax on Crypto Asset Trading Transactions.</w:t>
      </w:r>
    </w:p>
    <w:p w14:paraId="2ED54E0D" w14:textId="77777777" w:rsidR="00CF3ADB" w:rsidRDefault="00CF3ADB" w:rsidP="00337E99">
      <w:pPr>
        <w:spacing w:line="240" w:lineRule="auto"/>
        <w:ind w:left="706" w:hanging="706"/>
        <w:jc w:val="both"/>
        <w:rPr>
          <w:rFonts w:ascii="Times New Roman" w:eastAsia="Times New Roman" w:hAnsi="Times New Roman" w:cs="Times New Roman"/>
          <w:sz w:val="24"/>
          <w:szCs w:val="24"/>
        </w:rPr>
      </w:pPr>
      <w:r w:rsidRPr="00CF3ADB">
        <w:rPr>
          <w:rFonts w:ascii="Times New Roman" w:eastAsia="Times New Roman" w:hAnsi="Times New Roman" w:cs="Times New Roman"/>
          <w:sz w:val="24"/>
          <w:szCs w:val="24"/>
        </w:rPr>
        <w:t>Minister of Finance Regulation of the Republic of Indonesia Number 68 of 2022 on Value-Added Tax and Income Tax on Crypto Asset Trading Transactions.</w:t>
      </w:r>
    </w:p>
    <w:p w14:paraId="231C5776" w14:textId="77777777" w:rsidR="00BB17A0" w:rsidRPr="001205AF" w:rsidRDefault="000556AB" w:rsidP="00337E99">
      <w:pPr>
        <w:spacing w:line="240" w:lineRule="auto"/>
        <w:ind w:left="706" w:hanging="706"/>
        <w:jc w:val="both"/>
        <w:rPr>
          <w:rFonts w:ascii="Times New Roman" w:eastAsia="Times New Roman" w:hAnsi="Times New Roman" w:cs="Times New Roman"/>
          <w:sz w:val="24"/>
          <w:szCs w:val="24"/>
        </w:rPr>
      </w:pPr>
      <w:r w:rsidRPr="00CF3ADB">
        <w:rPr>
          <w:rFonts w:ascii="Times New Roman" w:eastAsia="Times New Roman" w:hAnsi="Times New Roman" w:cs="Times New Roman"/>
          <w:sz w:val="24"/>
          <w:szCs w:val="24"/>
          <w:lang w:val="pt-BR"/>
        </w:rPr>
        <w:t xml:space="preserve">Musgrave, R. A., &amp; Musgrave, P. B. (1989). </w:t>
      </w:r>
      <w:r w:rsidRPr="001205AF">
        <w:rPr>
          <w:rFonts w:ascii="Times New Roman" w:eastAsia="Times New Roman" w:hAnsi="Times New Roman" w:cs="Times New Roman"/>
          <w:i/>
          <w:sz w:val="24"/>
          <w:szCs w:val="24"/>
        </w:rPr>
        <w:t>Public finance in theory and practice</w:t>
      </w:r>
      <w:r w:rsidRPr="001205AF">
        <w:rPr>
          <w:rFonts w:ascii="Times New Roman" w:eastAsia="Times New Roman" w:hAnsi="Times New Roman" w:cs="Times New Roman"/>
          <w:sz w:val="24"/>
          <w:szCs w:val="24"/>
        </w:rPr>
        <w:t xml:space="preserve"> (5th ed.). McGraw-Hill.</w:t>
      </w:r>
    </w:p>
    <w:p w14:paraId="11541A58" w14:textId="77777777" w:rsidR="00BB17A0" w:rsidRPr="001205AF" w:rsidRDefault="000556AB" w:rsidP="00337E99">
      <w:pPr>
        <w:spacing w:line="240" w:lineRule="auto"/>
        <w:ind w:left="706" w:hanging="706"/>
        <w:jc w:val="both"/>
        <w:rPr>
          <w:rFonts w:ascii="Times New Roman" w:eastAsia="Times New Roman" w:hAnsi="Times New Roman" w:cs="Times New Roman"/>
          <w:sz w:val="24"/>
          <w:szCs w:val="24"/>
        </w:rPr>
      </w:pPr>
      <w:r w:rsidRPr="001205AF">
        <w:rPr>
          <w:rFonts w:ascii="Times New Roman" w:eastAsia="Times New Roman" w:hAnsi="Times New Roman" w:cs="Times New Roman"/>
          <w:sz w:val="24"/>
          <w:szCs w:val="24"/>
        </w:rPr>
        <w:t xml:space="preserve">OECD. (2022). </w:t>
      </w:r>
      <w:r w:rsidRPr="001205AF">
        <w:rPr>
          <w:rFonts w:ascii="Times New Roman" w:eastAsia="Times New Roman" w:hAnsi="Times New Roman" w:cs="Times New Roman"/>
          <w:i/>
          <w:sz w:val="24"/>
          <w:szCs w:val="24"/>
        </w:rPr>
        <w:t>Crypto-Asset Reporting Framework (CARF) and amendments to the Common Reporting Standard (CRS)</w:t>
      </w:r>
      <w:r w:rsidRPr="001205AF">
        <w:rPr>
          <w:rFonts w:ascii="Times New Roman" w:eastAsia="Times New Roman" w:hAnsi="Times New Roman" w:cs="Times New Roman"/>
          <w:sz w:val="24"/>
          <w:szCs w:val="24"/>
        </w:rPr>
        <w:t>. OECD Publishing.</w:t>
      </w:r>
    </w:p>
    <w:p w14:paraId="62835897" w14:textId="77777777" w:rsidR="00BB17A0" w:rsidRPr="001205AF" w:rsidRDefault="000556AB" w:rsidP="00337E99">
      <w:pPr>
        <w:spacing w:line="240" w:lineRule="auto"/>
        <w:ind w:left="706" w:hanging="706"/>
        <w:jc w:val="both"/>
        <w:rPr>
          <w:rFonts w:ascii="Times New Roman" w:eastAsia="Times New Roman" w:hAnsi="Times New Roman" w:cs="Times New Roman"/>
          <w:sz w:val="24"/>
          <w:szCs w:val="24"/>
        </w:rPr>
      </w:pPr>
      <w:proofErr w:type="spellStart"/>
      <w:r w:rsidRPr="001205AF">
        <w:rPr>
          <w:rFonts w:ascii="Times New Roman" w:eastAsia="Times New Roman" w:hAnsi="Times New Roman" w:cs="Times New Roman"/>
          <w:sz w:val="24"/>
          <w:szCs w:val="24"/>
        </w:rPr>
        <w:lastRenderedPageBreak/>
        <w:t>Otoritas</w:t>
      </w:r>
      <w:proofErr w:type="spellEnd"/>
      <w:r w:rsidRPr="001205AF">
        <w:rPr>
          <w:rFonts w:ascii="Times New Roman" w:eastAsia="Times New Roman" w:hAnsi="Times New Roman" w:cs="Times New Roman"/>
          <w:sz w:val="24"/>
          <w:szCs w:val="24"/>
        </w:rPr>
        <w:t xml:space="preserve"> Jasa </w:t>
      </w:r>
      <w:proofErr w:type="spellStart"/>
      <w:r w:rsidRPr="001205AF">
        <w:rPr>
          <w:rFonts w:ascii="Times New Roman" w:eastAsia="Times New Roman" w:hAnsi="Times New Roman" w:cs="Times New Roman"/>
          <w:sz w:val="24"/>
          <w:szCs w:val="24"/>
        </w:rPr>
        <w:t>Keuangan</w:t>
      </w:r>
      <w:proofErr w:type="spellEnd"/>
      <w:r w:rsidRPr="001205AF">
        <w:rPr>
          <w:rFonts w:ascii="Times New Roman" w:eastAsia="Times New Roman" w:hAnsi="Times New Roman" w:cs="Times New Roman"/>
          <w:sz w:val="24"/>
          <w:szCs w:val="24"/>
        </w:rPr>
        <w:t xml:space="preserve"> (OJK). (2025). </w:t>
      </w:r>
      <w:proofErr w:type="spellStart"/>
      <w:r w:rsidRPr="001205AF">
        <w:rPr>
          <w:rFonts w:ascii="Times New Roman" w:eastAsia="Times New Roman" w:hAnsi="Times New Roman" w:cs="Times New Roman"/>
          <w:i/>
          <w:sz w:val="24"/>
          <w:szCs w:val="24"/>
        </w:rPr>
        <w:t>Statistik</w:t>
      </w:r>
      <w:proofErr w:type="spellEnd"/>
      <w:r w:rsidRPr="001205AF">
        <w:rPr>
          <w:rFonts w:ascii="Times New Roman" w:eastAsia="Times New Roman" w:hAnsi="Times New Roman" w:cs="Times New Roman"/>
          <w:i/>
          <w:sz w:val="24"/>
          <w:szCs w:val="24"/>
        </w:rPr>
        <w:t xml:space="preserve"> dan </w:t>
      </w:r>
      <w:proofErr w:type="spellStart"/>
      <w:r w:rsidRPr="001205AF">
        <w:rPr>
          <w:rFonts w:ascii="Times New Roman" w:eastAsia="Times New Roman" w:hAnsi="Times New Roman" w:cs="Times New Roman"/>
          <w:i/>
          <w:sz w:val="24"/>
          <w:szCs w:val="24"/>
        </w:rPr>
        <w:t>perkembangan</w:t>
      </w:r>
      <w:proofErr w:type="spellEnd"/>
      <w:r w:rsidRPr="001205AF">
        <w:rPr>
          <w:rFonts w:ascii="Times New Roman" w:eastAsia="Times New Roman" w:hAnsi="Times New Roman" w:cs="Times New Roman"/>
          <w:i/>
          <w:sz w:val="24"/>
          <w:szCs w:val="24"/>
        </w:rPr>
        <w:t xml:space="preserve"> </w:t>
      </w:r>
      <w:proofErr w:type="spellStart"/>
      <w:r w:rsidRPr="001205AF">
        <w:rPr>
          <w:rFonts w:ascii="Times New Roman" w:eastAsia="Times New Roman" w:hAnsi="Times New Roman" w:cs="Times New Roman"/>
          <w:i/>
          <w:sz w:val="24"/>
          <w:szCs w:val="24"/>
        </w:rPr>
        <w:t>pengguna</w:t>
      </w:r>
      <w:proofErr w:type="spellEnd"/>
      <w:r w:rsidRPr="001205AF">
        <w:rPr>
          <w:rFonts w:ascii="Times New Roman" w:eastAsia="Times New Roman" w:hAnsi="Times New Roman" w:cs="Times New Roman"/>
          <w:i/>
          <w:sz w:val="24"/>
          <w:szCs w:val="24"/>
        </w:rPr>
        <w:t xml:space="preserve"> </w:t>
      </w:r>
      <w:proofErr w:type="spellStart"/>
      <w:r w:rsidRPr="001205AF">
        <w:rPr>
          <w:rFonts w:ascii="Times New Roman" w:eastAsia="Times New Roman" w:hAnsi="Times New Roman" w:cs="Times New Roman"/>
          <w:i/>
          <w:sz w:val="24"/>
          <w:szCs w:val="24"/>
        </w:rPr>
        <w:t>aset</w:t>
      </w:r>
      <w:proofErr w:type="spellEnd"/>
      <w:r w:rsidRPr="001205AF">
        <w:rPr>
          <w:rFonts w:ascii="Times New Roman" w:eastAsia="Times New Roman" w:hAnsi="Times New Roman" w:cs="Times New Roman"/>
          <w:i/>
          <w:sz w:val="24"/>
          <w:szCs w:val="24"/>
        </w:rPr>
        <w:t xml:space="preserve"> </w:t>
      </w:r>
      <w:proofErr w:type="spellStart"/>
      <w:r w:rsidRPr="001205AF">
        <w:rPr>
          <w:rFonts w:ascii="Times New Roman" w:eastAsia="Times New Roman" w:hAnsi="Times New Roman" w:cs="Times New Roman"/>
          <w:i/>
          <w:sz w:val="24"/>
          <w:szCs w:val="24"/>
        </w:rPr>
        <w:t>kripto</w:t>
      </w:r>
      <w:proofErr w:type="spellEnd"/>
      <w:r w:rsidRPr="001205AF">
        <w:rPr>
          <w:rFonts w:ascii="Times New Roman" w:eastAsia="Times New Roman" w:hAnsi="Times New Roman" w:cs="Times New Roman"/>
          <w:i/>
          <w:sz w:val="24"/>
          <w:szCs w:val="24"/>
        </w:rPr>
        <w:t xml:space="preserve"> Indonesia 2025</w:t>
      </w:r>
      <w:r w:rsidRPr="001205AF">
        <w:rPr>
          <w:rFonts w:ascii="Times New Roman" w:eastAsia="Times New Roman" w:hAnsi="Times New Roman" w:cs="Times New Roman"/>
          <w:sz w:val="24"/>
          <w:szCs w:val="24"/>
        </w:rPr>
        <w:t>.</w:t>
      </w:r>
    </w:p>
    <w:p w14:paraId="2CFA1F58" w14:textId="23A9560B" w:rsidR="00BB17A0" w:rsidRPr="001205AF" w:rsidRDefault="000556AB" w:rsidP="00337E99">
      <w:pPr>
        <w:spacing w:line="240" w:lineRule="auto"/>
        <w:ind w:left="706" w:hanging="706"/>
        <w:jc w:val="both"/>
        <w:rPr>
          <w:rFonts w:ascii="Times New Roman" w:eastAsia="Times New Roman" w:hAnsi="Times New Roman" w:cs="Times New Roman"/>
          <w:sz w:val="24"/>
          <w:szCs w:val="24"/>
        </w:rPr>
      </w:pPr>
      <w:r w:rsidRPr="001205AF">
        <w:rPr>
          <w:rFonts w:ascii="Times New Roman" w:eastAsia="Times New Roman" w:hAnsi="Times New Roman" w:cs="Times New Roman"/>
          <w:sz w:val="24"/>
          <w:szCs w:val="24"/>
        </w:rPr>
        <w:t xml:space="preserve">Schär, F. (2021). Decentralized finance: On blockchain- and smart contract-based financial markets. </w:t>
      </w:r>
      <w:r w:rsidRPr="001205AF">
        <w:rPr>
          <w:rFonts w:ascii="Times New Roman" w:eastAsia="Times New Roman" w:hAnsi="Times New Roman" w:cs="Times New Roman"/>
          <w:i/>
          <w:sz w:val="24"/>
          <w:szCs w:val="24"/>
        </w:rPr>
        <w:t>Federal Reserve Bank of St. Louis Review, 103</w:t>
      </w:r>
      <w:r w:rsidRPr="001205AF">
        <w:rPr>
          <w:rFonts w:ascii="Times New Roman" w:eastAsia="Times New Roman" w:hAnsi="Times New Roman" w:cs="Times New Roman"/>
          <w:sz w:val="24"/>
          <w:szCs w:val="24"/>
        </w:rPr>
        <w:t>(2), 153–174.</w:t>
      </w:r>
    </w:p>
    <w:p w14:paraId="12914445" w14:textId="02716019" w:rsidR="00BB17A0" w:rsidRPr="001205AF" w:rsidRDefault="000556AB" w:rsidP="00337E99">
      <w:pPr>
        <w:spacing w:line="240" w:lineRule="auto"/>
        <w:ind w:left="706" w:hanging="706"/>
        <w:jc w:val="both"/>
        <w:rPr>
          <w:rFonts w:ascii="Times New Roman" w:eastAsia="Times New Roman" w:hAnsi="Times New Roman" w:cs="Times New Roman"/>
          <w:i/>
          <w:sz w:val="24"/>
          <w:szCs w:val="24"/>
        </w:rPr>
      </w:pPr>
      <w:r w:rsidRPr="001205AF">
        <w:rPr>
          <w:rFonts w:ascii="Times New Roman" w:eastAsia="Times New Roman" w:hAnsi="Times New Roman" w:cs="Times New Roman"/>
          <w:sz w:val="24"/>
          <w:szCs w:val="24"/>
        </w:rPr>
        <w:t xml:space="preserve">Scholz, J. T. (1997). Enforcement policy and corporate misconduct: The changing perspective of deterrence theory. </w:t>
      </w:r>
      <w:r w:rsidRPr="001205AF">
        <w:rPr>
          <w:rFonts w:ascii="Times New Roman" w:eastAsia="Times New Roman" w:hAnsi="Times New Roman" w:cs="Times New Roman"/>
          <w:i/>
          <w:sz w:val="24"/>
          <w:szCs w:val="24"/>
        </w:rPr>
        <w:t>Law &amp; Policy, 19</w:t>
      </w:r>
      <w:r w:rsidRPr="00CF3ADB">
        <w:rPr>
          <w:rFonts w:ascii="Times New Roman" w:eastAsia="Times New Roman" w:hAnsi="Times New Roman" w:cs="Times New Roman"/>
          <w:i/>
          <w:iCs/>
          <w:sz w:val="24"/>
          <w:szCs w:val="24"/>
        </w:rPr>
        <w:t>(1)</w:t>
      </w:r>
      <w:r w:rsidRPr="001205AF">
        <w:rPr>
          <w:rFonts w:ascii="Times New Roman" w:eastAsia="Times New Roman" w:hAnsi="Times New Roman" w:cs="Times New Roman"/>
          <w:sz w:val="24"/>
          <w:szCs w:val="24"/>
        </w:rPr>
        <w:t xml:space="preserve">, 67–107. </w:t>
      </w:r>
      <w:r w:rsidRPr="00CF3ADB">
        <w:rPr>
          <w:rFonts w:ascii="Times New Roman" w:eastAsia="Times New Roman" w:hAnsi="Times New Roman" w:cs="Times New Roman"/>
          <w:iCs/>
          <w:sz w:val="24"/>
          <w:szCs w:val="24"/>
        </w:rPr>
        <w:t>(</w:t>
      </w:r>
      <w:r w:rsidR="00CF3ADB" w:rsidRPr="00CF3ADB">
        <w:rPr>
          <w:rFonts w:ascii="Times New Roman" w:eastAsia="Times New Roman" w:hAnsi="Times New Roman" w:cs="Times New Roman"/>
          <w:iCs/>
          <w:sz w:val="24"/>
          <w:szCs w:val="24"/>
        </w:rPr>
        <w:t>cited for deterrence/compliance framework</w:t>
      </w:r>
      <w:r w:rsidRPr="00CF3ADB">
        <w:rPr>
          <w:rFonts w:ascii="Times New Roman" w:eastAsia="Times New Roman" w:hAnsi="Times New Roman" w:cs="Times New Roman"/>
          <w:iCs/>
          <w:sz w:val="24"/>
          <w:szCs w:val="24"/>
        </w:rPr>
        <w:t>)</w:t>
      </w:r>
    </w:p>
    <w:p w14:paraId="69F4C19D" w14:textId="77777777" w:rsidR="00BB17A0" w:rsidRPr="001205AF" w:rsidRDefault="000556AB" w:rsidP="00337E99">
      <w:pPr>
        <w:spacing w:line="240" w:lineRule="auto"/>
        <w:ind w:left="706" w:hanging="706"/>
        <w:jc w:val="both"/>
        <w:rPr>
          <w:rFonts w:ascii="Times New Roman" w:eastAsia="Times New Roman" w:hAnsi="Times New Roman" w:cs="Times New Roman"/>
          <w:sz w:val="24"/>
          <w:szCs w:val="24"/>
        </w:rPr>
      </w:pPr>
      <w:r w:rsidRPr="001205AF">
        <w:rPr>
          <w:rFonts w:ascii="Times New Roman" w:eastAsia="Times New Roman" w:hAnsi="Times New Roman" w:cs="Times New Roman"/>
          <w:sz w:val="24"/>
          <w:szCs w:val="24"/>
        </w:rPr>
        <w:t xml:space="preserve">Nakamoto, S. (2008). </w:t>
      </w:r>
      <w:r w:rsidRPr="001205AF">
        <w:rPr>
          <w:rFonts w:ascii="Times New Roman" w:eastAsia="Times New Roman" w:hAnsi="Times New Roman" w:cs="Times New Roman"/>
          <w:i/>
          <w:sz w:val="24"/>
          <w:szCs w:val="24"/>
        </w:rPr>
        <w:t>Bitcoin: A peer-to-peer electronic cash system</w:t>
      </w:r>
      <w:r w:rsidRPr="001205AF">
        <w:rPr>
          <w:rFonts w:ascii="Times New Roman" w:eastAsia="Times New Roman" w:hAnsi="Times New Roman" w:cs="Times New Roman"/>
          <w:sz w:val="24"/>
          <w:szCs w:val="24"/>
        </w:rPr>
        <w:t>. White paper.</w:t>
      </w:r>
    </w:p>
    <w:p w14:paraId="6DB486DD" w14:textId="77777777" w:rsidR="00BB17A0" w:rsidRPr="001205AF" w:rsidRDefault="000556AB" w:rsidP="00337E99">
      <w:pPr>
        <w:spacing w:line="240" w:lineRule="auto"/>
        <w:ind w:left="706" w:hanging="706"/>
        <w:jc w:val="both"/>
        <w:rPr>
          <w:rFonts w:ascii="Times New Roman" w:eastAsia="Times New Roman" w:hAnsi="Times New Roman" w:cs="Times New Roman"/>
          <w:sz w:val="24"/>
          <w:szCs w:val="24"/>
        </w:rPr>
      </w:pPr>
      <w:r w:rsidRPr="001205AF">
        <w:rPr>
          <w:rFonts w:ascii="Times New Roman" w:eastAsia="Times New Roman" w:hAnsi="Times New Roman" w:cs="Times New Roman"/>
          <w:sz w:val="24"/>
          <w:szCs w:val="24"/>
        </w:rPr>
        <w:t xml:space="preserve">Tapscott, D., &amp; Tapscott, A. (2016). </w:t>
      </w:r>
      <w:r w:rsidRPr="001205AF">
        <w:rPr>
          <w:rFonts w:ascii="Times New Roman" w:eastAsia="Times New Roman" w:hAnsi="Times New Roman" w:cs="Times New Roman"/>
          <w:i/>
          <w:sz w:val="24"/>
          <w:szCs w:val="24"/>
        </w:rPr>
        <w:t>Blockchain revolution: How the technology behind Bitcoin is changing money, business, and the world</w:t>
      </w:r>
      <w:r w:rsidRPr="001205AF">
        <w:rPr>
          <w:rFonts w:ascii="Times New Roman" w:eastAsia="Times New Roman" w:hAnsi="Times New Roman" w:cs="Times New Roman"/>
          <w:sz w:val="24"/>
          <w:szCs w:val="24"/>
        </w:rPr>
        <w:t>. Penguin.</w:t>
      </w:r>
    </w:p>
    <w:p w14:paraId="41A6BC87" w14:textId="1BC73806" w:rsidR="00BB17A0" w:rsidRPr="00CF3ADB" w:rsidRDefault="000556AB" w:rsidP="00337E99">
      <w:pPr>
        <w:spacing w:line="240" w:lineRule="auto"/>
        <w:ind w:left="706" w:hanging="706"/>
        <w:jc w:val="both"/>
        <w:rPr>
          <w:rFonts w:ascii="Times New Roman" w:eastAsia="Times New Roman" w:hAnsi="Times New Roman" w:cs="Times New Roman"/>
          <w:sz w:val="24"/>
          <w:szCs w:val="24"/>
        </w:rPr>
      </w:pPr>
      <w:r w:rsidRPr="001205AF">
        <w:rPr>
          <w:rFonts w:ascii="Times New Roman" w:eastAsia="Times New Roman" w:hAnsi="Times New Roman" w:cs="Times New Roman"/>
          <w:sz w:val="24"/>
          <w:szCs w:val="24"/>
        </w:rPr>
        <w:t xml:space="preserve">Tamanaha, B. Z. (2017). </w:t>
      </w:r>
      <w:r w:rsidRPr="001205AF">
        <w:rPr>
          <w:rFonts w:ascii="Times New Roman" w:eastAsia="Times New Roman" w:hAnsi="Times New Roman" w:cs="Times New Roman"/>
          <w:i/>
          <w:sz w:val="24"/>
          <w:szCs w:val="24"/>
        </w:rPr>
        <w:t>A realistic theory of law</w:t>
      </w:r>
      <w:r w:rsidRPr="001205AF">
        <w:rPr>
          <w:rFonts w:ascii="Times New Roman" w:eastAsia="Times New Roman" w:hAnsi="Times New Roman" w:cs="Times New Roman"/>
          <w:sz w:val="24"/>
          <w:szCs w:val="24"/>
        </w:rPr>
        <w:t>. Cambridge University Press</w:t>
      </w:r>
      <w:r w:rsidRPr="00CF3ADB">
        <w:rPr>
          <w:rFonts w:ascii="Times New Roman" w:eastAsia="Times New Roman" w:hAnsi="Times New Roman" w:cs="Times New Roman"/>
          <w:sz w:val="24"/>
          <w:szCs w:val="24"/>
        </w:rPr>
        <w:t>. (</w:t>
      </w:r>
      <w:r w:rsidR="00CF3ADB" w:rsidRPr="00CF3ADB">
        <w:rPr>
          <w:rFonts w:ascii="Times New Roman" w:eastAsia="Times New Roman" w:hAnsi="Times New Roman" w:cs="Times New Roman"/>
          <w:sz w:val="24"/>
          <w:szCs w:val="24"/>
        </w:rPr>
        <w:t>referenced regarding legal pluralism and legal theory</w:t>
      </w:r>
      <w:r w:rsidRPr="00CF3ADB">
        <w:rPr>
          <w:rFonts w:ascii="Times New Roman" w:eastAsia="Times New Roman" w:hAnsi="Times New Roman" w:cs="Times New Roman"/>
          <w:sz w:val="24"/>
          <w:szCs w:val="24"/>
        </w:rPr>
        <w:t>)</w:t>
      </w:r>
    </w:p>
    <w:p w14:paraId="349B64C7" w14:textId="77777777" w:rsidR="00BB17A0" w:rsidRPr="001205AF" w:rsidRDefault="000556AB" w:rsidP="00337E99">
      <w:pPr>
        <w:spacing w:line="240" w:lineRule="auto"/>
        <w:ind w:left="706" w:hanging="706"/>
        <w:jc w:val="both"/>
        <w:rPr>
          <w:rFonts w:ascii="Times New Roman" w:eastAsia="Times New Roman" w:hAnsi="Times New Roman" w:cs="Times New Roman"/>
          <w:sz w:val="24"/>
          <w:szCs w:val="24"/>
        </w:rPr>
      </w:pPr>
      <w:r w:rsidRPr="001205AF">
        <w:rPr>
          <w:rFonts w:ascii="Times New Roman" w:eastAsia="Times New Roman" w:hAnsi="Times New Roman" w:cs="Times New Roman"/>
          <w:sz w:val="24"/>
          <w:szCs w:val="24"/>
        </w:rPr>
        <w:t xml:space="preserve">Torgler, B. (2007). </w:t>
      </w:r>
      <w:r w:rsidRPr="001205AF">
        <w:rPr>
          <w:rFonts w:ascii="Times New Roman" w:eastAsia="Times New Roman" w:hAnsi="Times New Roman" w:cs="Times New Roman"/>
          <w:i/>
          <w:sz w:val="24"/>
          <w:szCs w:val="24"/>
        </w:rPr>
        <w:t>Tax compliance and tax morale</w:t>
      </w:r>
      <w:r w:rsidRPr="001205AF">
        <w:rPr>
          <w:rFonts w:ascii="Times New Roman" w:eastAsia="Times New Roman" w:hAnsi="Times New Roman" w:cs="Times New Roman"/>
          <w:sz w:val="24"/>
          <w:szCs w:val="24"/>
        </w:rPr>
        <w:t>. Edward Elgar.</w:t>
      </w:r>
    </w:p>
    <w:p w14:paraId="360CAAE6" w14:textId="1D6D41E8" w:rsidR="00131E68" w:rsidRDefault="000556AB" w:rsidP="00337E99">
      <w:pPr>
        <w:spacing w:line="240" w:lineRule="auto"/>
        <w:ind w:left="706" w:hanging="706"/>
        <w:jc w:val="both"/>
        <w:rPr>
          <w:rFonts w:ascii="Times New Roman" w:eastAsia="Times New Roman" w:hAnsi="Times New Roman" w:cs="Times New Roman"/>
          <w:sz w:val="24"/>
          <w:szCs w:val="24"/>
        </w:rPr>
      </w:pPr>
      <w:r w:rsidRPr="001205AF">
        <w:rPr>
          <w:rFonts w:ascii="Times New Roman" w:eastAsia="Times New Roman" w:hAnsi="Times New Roman" w:cs="Times New Roman"/>
          <w:sz w:val="24"/>
          <w:szCs w:val="24"/>
        </w:rPr>
        <w:t xml:space="preserve">Xu, Jiahua &amp; Paruch, Krzysztof &amp; </w:t>
      </w:r>
      <w:proofErr w:type="spellStart"/>
      <w:r w:rsidRPr="001205AF">
        <w:rPr>
          <w:rFonts w:ascii="Times New Roman" w:eastAsia="Times New Roman" w:hAnsi="Times New Roman" w:cs="Times New Roman"/>
          <w:sz w:val="24"/>
          <w:szCs w:val="24"/>
        </w:rPr>
        <w:t>Cousaert</w:t>
      </w:r>
      <w:proofErr w:type="spellEnd"/>
      <w:r w:rsidRPr="001205AF">
        <w:rPr>
          <w:rFonts w:ascii="Times New Roman" w:eastAsia="Times New Roman" w:hAnsi="Times New Roman" w:cs="Times New Roman"/>
          <w:sz w:val="24"/>
          <w:szCs w:val="24"/>
        </w:rPr>
        <w:t xml:space="preserve">, Simon &amp; Feng, Yebo. (2022). </w:t>
      </w:r>
      <w:proofErr w:type="spellStart"/>
      <w:r w:rsidRPr="001205AF">
        <w:rPr>
          <w:rFonts w:ascii="Times New Roman" w:eastAsia="Times New Roman" w:hAnsi="Times New Roman" w:cs="Times New Roman"/>
          <w:sz w:val="24"/>
          <w:szCs w:val="24"/>
        </w:rPr>
        <w:t>SoK</w:t>
      </w:r>
      <w:proofErr w:type="spellEnd"/>
      <w:r w:rsidRPr="001205AF">
        <w:rPr>
          <w:rFonts w:ascii="Times New Roman" w:eastAsia="Times New Roman" w:hAnsi="Times New Roman" w:cs="Times New Roman"/>
          <w:sz w:val="24"/>
          <w:szCs w:val="24"/>
        </w:rPr>
        <w:t xml:space="preserve">: Decentralized Exchanges (DEX) with Automated Market Maker (AMM) Protocols. ACM Computing Surveys. 55. </w:t>
      </w:r>
      <w:hyperlink r:id="rId11">
        <w:r w:rsidRPr="001205AF">
          <w:rPr>
            <w:rFonts w:ascii="Times New Roman" w:eastAsia="Times New Roman" w:hAnsi="Times New Roman" w:cs="Times New Roman"/>
            <w:sz w:val="24"/>
            <w:szCs w:val="24"/>
          </w:rPr>
          <w:t>https://doi.org/10.1145/3570639</w:t>
        </w:r>
      </w:hyperlink>
      <w:r w:rsidR="00131E68">
        <w:rPr>
          <w:rFonts w:ascii="Times New Roman" w:eastAsia="Times New Roman" w:hAnsi="Times New Roman" w:cs="Times New Roman"/>
          <w:sz w:val="24"/>
          <w:szCs w:val="24"/>
        </w:rPr>
        <w:t xml:space="preserve"> </w:t>
      </w:r>
    </w:p>
    <w:p w14:paraId="5EACFA8E" w14:textId="538525EC" w:rsidR="00BB17A0" w:rsidRPr="001205AF" w:rsidRDefault="000556AB" w:rsidP="00337E99">
      <w:pPr>
        <w:spacing w:line="240" w:lineRule="auto"/>
        <w:ind w:left="706" w:hanging="706"/>
        <w:jc w:val="both"/>
        <w:rPr>
          <w:rFonts w:ascii="Times New Roman" w:eastAsia="Times New Roman" w:hAnsi="Times New Roman" w:cs="Times New Roman"/>
          <w:sz w:val="24"/>
          <w:szCs w:val="24"/>
        </w:rPr>
      </w:pPr>
      <w:r w:rsidRPr="001205AF">
        <w:rPr>
          <w:rFonts w:ascii="Times New Roman" w:eastAsia="Times New Roman" w:hAnsi="Times New Roman" w:cs="Times New Roman"/>
          <w:sz w:val="24"/>
          <w:szCs w:val="24"/>
        </w:rPr>
        <w:t xml:space="preserve">Yeung, K. (2018). Algorithmic regulation: A critical interrogation. </w:t>
      </w:r>
      <w:r w:rsidRPr="001205AF">
        <w:rPr>
          <w:rFonts w:ascii="Times New Roman" w:eastAsia="Times New Roman" w:hAnsi="Times New Roman" w:cs="Times New Roman"/>
          <w:i/>
          <w:sz w:val="24"/>
          <w:szCs w:val="24"/>
        </w:rPr>
        <w:t>Regulation &amp; Governance, 12</w:t>
      </w:r>
      <w:r w:rsidRPr="001205AF">
        <w:rPr>
          <w:rFonts w:ascii="Times New Roman" w:eastAsia="Times New Roman" w:hAnsi="Times New Roman" w:cs="Times New Roman"/>
          <w:sz w:val="24"/>
          <w:szCs w:val="24"/>
        </w:rPr>
        <w:t>(4), 505–523.</w:t>
      </w:r>
    </w:p>
    <w:p w14:paraId="1CBC355E" w14:textId="0DB8EC64" w:rsidR="00BB17A0" w:rsidRPr="001205AF" w:rsidRDefault="000556AB" w:rsidP="00337E99">
      <w:pPr>
        <w:spacing w:line="240" w:lineRule="auto"/>
        <w:ind w:left="706" w:hanging="706"/>
        <w:jc w:val="both"/>
        <w:rPr>
          <w:rFonts w:ascii="Times New Roman" w:eastAsia="Times New Roman" w:hAnsi="Times New Roman" w:cs="Times New Roman"/>
          <w:sz w:val="24"/>
          <w:szCs w:val="24"/>
          <w:highlight w:val="white"/>
        </w:rPr>
      </w:pPr>
      <w:proofErr w:type="spellStart"/>
      <w:r w:rsidRPr="001205AF">
        <w:rPr>
          <w:rFonts w:ascii="Times New Roman" w:eastAsia="Times New Roman" w:hAnsi="Times New Roman" w:cs="Times New Roman"/>
          <w:sz w:val="24"/>
          <w:szCs w:val="24"/>
        </w:rPr>
        <w:t>Zetzsche</w:t>
      </w:r>
      <w:proofErr w:type="spellEnd"/>
      <w:r w:rsidRPr="001205AF">
        <w:rPr>
          <w:rFonts w:ascii="Times New Roman" w:eastAsia="Times New Roman" w:hAnsi="Times New Roman" w:cs="Times New Roman"/>
          <w:sz w:val="24"/>
          <w:szCs w:val="24"/>
        </w:rPr>
        <w:t xml:space="preserve">, D. A., Arner, D. W., &amp; Buckley, R. P. (2020). Decentralized finance (DeFi): Transforming financial governance. </w:t>
      </w:r>
      <w:r w:rsidRPr="001205AF">
        <w:rPr>
          <w:rFonts w:ascii="Times New Roman" w:eastAsia="Times New Roman" w:hAnsi="Times New Roman" w:cs="Times New Roman"/>
          <w:i/>
          <w:sz w:val="24"/>
          <w:szCs w:val="24"/>
        </w:rPr>
        <w:t>European Banking Institute Working Paper</w:t>
      </w:r>
      <w:r w:rsidRPr="001205AF">
        <w:rPr>
          <w:rFonts w:ascii="Times New Roman" w:eastAsia="Times New Roman" w:hAnsi="Times New Roman" w:cs="Times New Roman"/>
          <w:sz w:val="24"/>
          <w:szCs w:val="24"/>
        </w:rPr>
        <w:t xml:space="preserve"> No. 2020/70.</w:t>
      </w:r>
    </w:p>
    <w:sectPr w:rsidR="00BB17A0" w:rsidRPr="001205AF">
      <w:headerReference w:type="default"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B7A95" w14:textId="77777777" w:rsidR="00822A75" w:rsidRDefault="00822A75" w:rsidP="00FF4E76">
      <w:pPr>
        <w:spacing w:line="240" w:lineRule="auto"/>
      </w:pPr>
      <w:r>
        <w:separator/>
      </w:r>
    </w:p>
  </w:endnote>
  <w:endnote w:type="continuationSeparator" w:id="0">
    <w:p w14:paraId="1E6CC268" w14:textId="77777777" w:rsidR="00822A75" w:rsidRDefault="00822A75" w:rsidP="00FF4E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rPr>
      <w:id w:val="-1855023111"/>
      <w:docPartObj>
        <w:docPartGallery w:val="Page Numbers (Bottom of Page)"/>
        <w:docPartUnique/>
      </w:docPartObj>
    </w:sdtPr>
    <w:sdtEndPr>
      <w:rPr>
        <w:i/>
        <w:iCs/>
      </w:rPr>
    </w:sdtEndPr>
    <w:sdtContent>
      <w:p w14:paraId="0A2DF859" w14:textId="5312CC7A" w:rsidR="00FF4E76" w:rsidRPr="00FF4E76" w:rsidRDefault="00FF4E76">
        <w:pPr>
          <w:pStyle w:val="Footer"/>
          <w:jc w:val="right"/>
          <w:rPr>
            <w:rFonts w:asciiTheme="majorHAnsi" w:hAnsiTheme="majorHAnsi" w:cstheme="majorHAnsi"/>
            <w:i/>
            <w:iCs/>
          </w:rPr>
        </w:pPr>
        <w:r w:rsidRPr="00FF4E76">
          <w:rPr>
            <w:rFonts w:asciiTheme="majorHAnsi" w:hAnsiTheme="majorHAnsi" w:cstheme="majorHAnsi"/>
            <w:i/>
            <w:iCs/>
          </w:rPr>
          <w:t xml:space="preserve">Page | </w:t>
        </w:r>
        <w:r w:rsidRPr="00FF4E76">
          <w:rPr>
            <w:rFonts w:asciiTheme="majorHAnsi" w:hAnsiTheme="majorHAnsi" w:cstheme="majorHAnsi"/>
            <w:i/>
            <w:iCs/>
          </w:rPr>
          <w:fldChar w:fldCharType="begin"/>
        </w:r>
        <w:r w:rsidRPr="00FF4E76">
          <w:rPr>
            <w:rFonts w:asciiTheme="majorHAnsi" w:hAnsiTheme="majorHAnsi" w:cstheme="majorHAnsi"/>
            <w:i/>
            <w:iCs/>
          </w:rPr>
          <w:instrText xml:space="preserve"> PAGE   \* MERGEFORMAT </w:instrText>
        </w:r>
        <w:r w:rsidRPr="00FF4E76">
          <w:rPr>
            <w:rFonts w:asciiTheme="majorHAnsi" w:hAnsiTheme="majorHAnsi" w:cstheme="majorHAnsi"/>
            <w:i/>
            <w:iCs/>
          </w:rPr>
          <w:fldChar w:fldCharType="separate"/>
        </w:r>
        <w:r w:rsidRPr="00FF4E76">
          <w:rPr>
            <w:rFonts w:asciiTheme="majorHAnsi" w:hAnsiTheme="majorHAnsi" w:cstheme="majorHAnsi"/>
            <w:i/>
            <w:iCs/>
            <w:noProof/>
          </w:rPr>
          <w:t>2</w:t>
        </w:r>
        <w:r w:rsidRPr="00FF4E76">
          <w:rPr>
            <w:rFonts w:asciiTheme="majorHAnsi" w:hAnsiTheme="majorHAnsi" w:cstheme="majorHAnsi"/>
            <w:i/>
            <w:iCs/>
            <w:noProof/>
          </w:rPr>
          <w:fldChar w:fldCharType="end"/>
        </w:r>
        <w:r w:rsidRPr="00FF4E76">
          <w:rPr>
            <w:rFonts w:asciiTheme="majorHAnsi" w:hAnsiTheme="majorHAnsi" w:cstheme="majorHAnsi"/>
            <w:i/>
            <w:iCs/>
          </w:rPr>
          <w:t xml:space="preserve"> </w:t>
        </w:r>
      </w:p>
    </w:sdtContent>
  </w:sdt>
  <w:p w14:paraId="09C07270" w14:textId="77777777" w:rsidR="00FF4E76" w:rsidRDefault="00FF4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CB7A9" w14:textId="77777777" w:rsidR="00822A75" w:rsidRDefault="00822A75" w:rsidP="00FF4E76">
      <w:pPr>
        <w:spacing w:line="240" w:lineRule="auto"/>
      </w:pPr>
      <w:r>
        <w:separator/>
      </w:r>
    </w:p>
  </w:footnote>
  <w:footnote w:type="continuationSeparator" w:id="0">
    <w:p w14:paraId="36EFDC96" w14:textId="77777777" w:rsidR="00822A75" w:rsidRDefault="00822A75" w:rsidP="00FF4E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8CC5" w14:textId="77777777" w:rsidR="00FF4E76" w:rsidRPr="006D05C1" w:rsidRDefault="00FF4E76" w:rsidP="00FF4E76">
    <w:pPr>
      <w:pStyle w:val="Header"/>
      <w:tabs>
        <w:tab w:val="clear" w:pos="9360"/>
        <w:tab w:val="right" w:pos="9071"/>
      </w:tabs>
      <w:rPr>
        <w:rFonts w:ascii="Times New Roman" w:hAnsi="Times New Roman" w:cs="Times New Roman"/>
        <w:b/>
        <w:bCs/>
        <w:iCs/>
        <w:sz w:val="24"/>
        <w:szCs w:val="24"/>
        <w:lang w:val="sv-SE"/>
      </w:rPr>
    </w:pPr>
    <w:r w:rsidRPr="006D05C1">
      <w:rPr>
        <w:rFonts w:ascii="Times New Roman" w:hAnsi="Times New Roman" w:cs="Times New Roman"/>
        <w:b/>
        <w:bCs/>
        <w:iCs/>
        <w:sz w:val="24"/>
        <w:szCs w:val="24"/>
        <w:lang w:val="sv-SE"/>
      </w:rPr>
      <w:t>Jurnal Perspektif Bea dan Cukai</w:t>
    </w:r>
  </w:p>
  <w:p w14:paraId="6DD98CC7" w14:textId="27D812F2" w:rsidR="00FF4E76" w:rsidRDefault="00FF4E76" w:rsidP="00FF4E76">
    <w:pPr>
      <w:pStyle w:val="Header"/>
    </w:pPr>
    <w:r>
      <w:rPr>
        <w:rFonts w:ascii="Times New Roman" w:hAnsi="Times New Roman" w:cs="Times New Roman"/>
        <w:iCs/>
        <w:sz w:val="24"/>
        <w:szCs w:val="24"/>
        <w:lang w:val="sv-SE"/>
      </w:rPr>
      <w:t xml:space="preserve">Regional Training Center : </w:t>
    </w:r>
    <w:r w:rsidRPr="006D05C1">
      <w:rPr>
        <w:rFonts w:ascii="Times New Roman" w:hAnsi="Times New Roman" w:cs="Times New Roman"/>
        <w:iCs/>
        <w:sz w:val="24"/>
        <w:szCs w:val="24"/>
        <w:lang w:val="sv-SE"/>
      </w:rPr>
      <w:t xml:space="preserve">Volume </w:t>
    </w:r>
    <w:r>
      <w:rPr>
        <w:rFonts w:ascii="Times New Roman" w:hAnsi="Times New Roman" w:cs="Times New Roman"/>
        <w:iCs/>
        <w:sz w:val="24"/>
        <w:szCs w:val="24"/>
        <w:lang w:val="sv-SE"/>
      </w:rPr>
      <w:t>1</w:t>
    </w:r>
    <w:r w:rsidRPr="006D05C1">
      <w:rPr>
        <w:rFonts w:ascii="Times New Roman" w:hAnsi="Times New Roman" w:cs="Times New Roman"/>
        <w:iCs/>
        <w:sz w:val="24"/>
        <w:szCs w:val="24"/>
        <w:lang w:val="sv-SE"/>
      </w:rPr>
      <w:t xml:space="preserve"> No. </w:t>
    </w:r>
    <w:r>
      <w:rPr>
        <w:rFonts w:ascii="Times New Roman" w:hAnsi="Times New Roman" w:cs="Times New Roman"/>
        <w:iCs/>
        <w:sz w:val="24"/>
        <w:szCs w:val="24"/>
        <w:lang w:val="sv-SE"/>
      </w:rPr>
      <w:t>1</w:t>
    </w:r>
    <w:r w:rsidRPr="006D05C1">
      <w:rPr>
        <w:rFonts w:ascii="Times New Roman" w:hAnsi="Times New Roman" w:cs="Times New Roman"/>
        <w:iCs/>
        <w:sz w:val="24"/>
        <w:szCs w:val="24"/>
        <w:lang w:val="sv-SE"/>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E380D"/>
    <w:multiLevelType w:val="hybridMultilevel"/>
    <w:tmpl w:val="420A0C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9224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7A0"/>
    <w:rsid w:val="0001274D"/>
    <w:rsid w:val="000556AB"/>
    <w:rsid w:val="000B094C"/>
    <w:rsid w:val="001205AF"/>
    <w:rsid w:val="00131E68"/>
    <w:rsid w:val="002419DA"/>
    <w:rsid w:val="0025472D"/>
    <w:rsid w:val="002C4451"/>
    <w:rsid w:val="00335C54"/>
    <w:rsid w:val="00337E99"/>
    <w:rsid w:val="003E41E1"/>
    <w:rsid w:val="003F6EB3"/>
    <w:rsid w:val="00400F71"/>
    <w:rsid w:val="004C4F54"/>
    <w:rsid w:val="005338EB"/>
    <w:rsid w:val="00712A76"/>
    <w:rsid w:val="0077690D"/>
    <w:rsid w:val="00822A75"/>
    <w:rsid w:val="008A05B7"/>
    <w:rsid w:val="009E0805"/>
    <w:rsid w:val="00B36F96"/>
    <w:rsid w:val="00B418C6"/>
    <w:rsid w:val="00B820EA"/>
    <w:rsid w:val="00BB17A0"/>
    <w:rsid w:val="00CF3ADB"/>
    <w:rsid w:val="00E07168"/>
    <w:rsid w:val="00EF7219"/>
    <w:rsid w:val="00F07913"/>
    <w:rsid w:val="00FF4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3FDF1"/>
  <w15:docId w15:val="{67CAFE88-59A6-4B9C-9860-D748372CA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character" w:styleId="Hyperlink">
    <w:name w:val="Hyperlink"/>
    <w:basedOn w:val="DefaultParagraphFont"/>
    <w:uiPriority w:val="99"/>
    <w:unhideWhenUsed/>
    <w:rsid w:val="008A05B7"/>
    <w:rPr>
      <w:color w:val="0000FF" w:themeColor="hyperlink"/>
      <w:u w:val="single"/>
    </w:rPr>
  </w:style>
  <w:style w:type="character" w:styleId="UnresolvedMention">
    <w:name w:val="Unresolved Mention"/>
    <w:basedOn w:val="DefaultParagraphFont"/>
    <w:uiPriority w:val="99"/>
    <w:semiHidden/>
    <w:unhideWhenUsed/>
    <w:rsid w:val="008A05B7"/>
    <w:rPr>
      <w:color w:val="605E5C"/>
      <w:shd w:val="clear" w:color="auto" w:fill="E1DFDD"/>
    </w:rPr>
  </w:style>
  <w:style w:type="paragraph" w:styleId="ListParagraph">
    <w:name w:val="List Paragraph"/>
    <w:basedOn w:val="Normal"/>
    <w:uiPriority w:val="34"/>
    <w:qFormat/>
    <w:rsid w:val="005338EB"/>
    <w:pPr>
      <w:ind w:left="720"/>
      <w:contextualSpacing/>
    </w:pPr>
  </w:style>
  <w:style w:type="paragraph" w:styleId="Header">
    <w:name w:val="header"/>
    <w:basedOn w:val="Normal"/>
    <w:link w:val="HeaderChar"/>
    <w:uiPriority w:val="99"/>
    <w:unhideWhenUsed/>
    <w:rsid w:val="00FF4E76"/>
    <w:pPr>
      <w:tabs>
        <w:tab w:val="center" w:pos="4680"/>
        <w:tab w:val="right" w:pos="9360"/>
      </w:tabs>
      <w:spacing w:line="240" w:lineRule="auto"/>
    </w:pPr>
  </w:style>
  <w:style w:type="character" w:customStyle="1" w:styleId="HeaderChar">
    <w:name w:val="Header Char"/>
    <w:basedOn w:val="DefaultParagraphFont"/>
    <w:link w:val="Header"/>
    <w:uiPriority w:val="99"/>
    <w:rsid w:val="00FF4E76"/>
  </w:style>
  <w:style w:type="paragraph" w:styleId="Footer">
    <w:name w:val="footer"/>
    <w:basedOn w:val="Normal"/>
    <w:link w:val="FooterChar"/>
    <w:uiPriority w:val="99"/>
    <w:unhideWhenUsed/>
    <w:rsid w:val="00FF4E76"/>
    <w:pPr>
      <w:tabs>
        <w:tab w:val="center" w:pos="4680"/>
        <w:tab w:val="right" w:pos="9360"/>
      </w:tabs>
      <w:spacing w:line="240" w:lineRule="auto"/>
    </w:pPr>
  </w:style>
  <w:style w:type="character" w:customStyle="1" w:styleId="FooterChar">
    <w:name w:val="Footer Char"/>
    <w:basedOn w:val="DefaultParagraphFont"/>
    <w:link w:val="Footer"/>
    <w:uiPriority w:val="99"/>
    <w:rsid w:val="00FF4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1878">
      <w:bodyDiv w:val="1"/>
      <w:marLeft w:val="0"/>
      <w:marRight w:val="0"/>
      <w:marTop w:val="0"/>
      <w:marBottom w:val="0"/>
      <w:divBdr>
        <w:top w:val="none" w:sz="0" w:space="0" w:color="auto"/>
        <w:left w:val="none" w:sz="0" w:space="0" w:color="auto"/>
        <w:bottom w:val="none" w:sz="0" w:space="0" w:color="auto"/>
        <w:right w:val="none" w:sz="0" w:space="0" w:color="auto"/>
      </w:divBdr>
    </w:div>
    <w:div w:id="145898256">
      <w:bodyDiv w:val="1"/>
      <w:marLeft w:val="0"/>
      <w:marRight w:val="0"/>
      <w:marTop w:val="0"/>
      <w:marBottom w:val="0"/>
      <w:divBdr>
        <w:top w:val="none" w:sz="0" w:space="0" w:color="auto"/>
        <w:left w:val="none" w:sz="0" w:space="0" w:color="auto"/>
        <w:bottom w:val="none" w:sz="0" w:space="0" w:color="auto"/>
        <w:right w:val="none" w:sz="0" w:space="0" w:color="auto"/>
      </w:divBdr>
    </w:div>
    <w:div w:id="341859607">
      <w:bodyDiv w:val="1"/>
      <w:marLeft w:val="0"/>
      <w:marRight w:val="0"/>
      <w:marTop w:val="0"/>
      <w:marBottom w:val="0"/>
      <w:divBdr>
        <w:top w:val="none" w:sz="0" w:space="0" w:color="auto"/>
        <w:left w:val="none" w:sz="0" w:space="0" w:color="auto"/>
        <w:bottom w:val="none" w:sz="0" w:space="0" w:color="auto"/>
        <w:right w:val="none" w:sz="0" w:space="0" w:color="auto"/>
      </w:divBdr>
    </w:div>
    <w:div w:id="548227777">
      <w:bodyDiv w:val="1"/>
      <w:marLeft w:val="0"/>
      <w:marRight w:val="0"/>
      <w:marTop w:val="0"/>
      <w:marBottom w:val="0"/>
      <w:divBdr>
        <w:top w:val="none" w:sz="0" w:space="0" w:color="auto"/>
        <w:left w:val="none" w:sz="0" w:space="0" w:color="auto"/>
        <w:bottom w:val="none" w:sz="0" w:space="0" w:color="auto"/>
        <w:right w:val="none" w:sz="0" w:space="0" w:color="auto"/>
      </w:divBdr>
    </w:div>
    <w:div w:id="592125250">
      <w:bodyDiv w:val="1"/>
      <w:marLeft w:val="0"/>
      <w:marRight w:val="0"/>
      <w:marTop w:val="0"/>
      <w:marBottom w:val="0"/>
      <w:divBdr>
        <w:top w:val="none" w:sz="0" w:space="0" w:color="auto"/>
        <w:left w:val="none" w:sz="0" w:space="0" w:color="auto"/>
        <w:bottom w:val="none" w:sz="0" w:space="0" w:color="auto"/>
        <w:right w:val="none" w:sz="0" w:space="0" w:color="auto"/>
      </w:divBdr>
    </w:div>
    <w:div w:id="632751874">
      <w:bodyDiv w:val="1"/>
      <w:marLeft w:val="0"/>
      <w:marRight w:val="0"/>
      <w:marTop w:val="0"/>
      <w:marBottom w:val="0"/>
      <w:divBdr>
        <w:top w:val="none" w:sz="0" w:space="0" w:color="auto"/>
        <w:left w:val="none" w:sz="0" w:space="0" w:color="auto"/>
        <w:bottom w:val="none" w:sz="0" w:space="0" w:color="auto"/>
        <w:right w:val="none" w:sz="0" w:space="0" w:color="auto"/>
      </w:divBdr>
    </w:div>
    <w:div w:id="677927125">
      <w:bodyDiv w:val="1"/>
      <w:marLeft w:val="0"/>
      <w:marRight w:val="0"/>
      <w:marTop w:val="0"/>
      <w:marBottom w:val="0"/>
      <w:divBdr>
        <w:top w:val="none" w:sz="0" w:space="0" w:color="auto"/>
        <w:left w:val="none" w:sz="0" w:space="0" w:color="auto"/>
        <w:bottom w:val="none" w:sz="0" w:space="0" w:color="auto"/>
        <w:right w:val="none" w:sz="0" w:space="0" w:color="auto"/>
      </w:divBdr>
    </w:div>
    <w:div w:id="785779629">
      <w:bodyDiv w:val="1"/>
      <w:marLeft w:val="0"/>
      <w:marRight w:val="0"/>
      <w:marTop w:val="0"/>
      <w:marBottom w:val="0"/>
      <w:divBdr>
        <w:top w:val="none" w:sz="0" w:space="0" w:color="auto"/>
        <w:left w:val="none" w:sz="0" w:space="0" w:color="auto"/>
        <w:bottom w:val="none" w:sz="0" w:space="0" w:color="auto"/>
        <w:right w:val="none" w:sz="0" w:space="0" w:color="auto"/>
      </w:divBdr>
    </w:div>
    <w:div w:id="967978015">
      <w:bodyDiv w:val="1"/>
      <w:marLeft w:val="0"/>
      <w:marRight w:val="0"/>
      <w:marTop w:val="0"/>
      <w:marBottom w:val="0"/>
      <w:divBdr>
        <w:top w:val="none" w:sz="0" w:space="0" w:color="auto"/>
        <w:left w:val="none" w:sz="0" w:space="0" w:color="auto"/>
        <w:bottom w:val="none" w:sz="0" w:space="0" w:color="auto"/>
        <w:right w:val="none" w:sz="0" w:space="0" w:color="auto"/>
      </w:divBdr>
    </w:div>
    <w:div w:id="1127509332">
      <w:bodyDiv w:val="1"/>
      <w:marLeft w:val="0"/>
      <w:marRight w:val="0"/>
      <w:marTop w:val="0"/>
      <w:marBottom w:val="0"/>
      <w:divBdr>
        <w:top w:val="none" w:sz="0" w:space="0" w:color="auto"/>
        <w:left w:val="none" w:sz="0" w:space="0" w:color="auto"/>
        <w:bottom w:val="none" w:sz="0" w:space="0" w:color="auto"/>
        <w:right w:val="none" w:sz="0" w:space="0" w:color="auto"/>
      </w:divBdr>
    </w:div>
    <w:div w:id="1339042346">
      <w:bodyDiv w:val="1"/>
      <w:marLeft w:val="0"/>
      <w:marRight w:val="0"/>
      <w:marTop w:val="0"/>
      <w:marBottom w:val="0"/>
      <w:divBdr>
        <w:top w:val="none" w:sz="0" w:space="0" w:color="auto"/>
        <w:left w:val="none" w:sz="0" w:space="0" w:color="auto"/>
        <w:bottom w:val="none" w:sz="0" w:space="0" w:color="auto"/>
        <w:right w:val="none" w:sz="0" w:space="0" w:color="auto"/>
      </w:divBdr>
    </w:div>
    <w:div w:id="1449741951">
      <w:bodyDiv w:val="1"/>
      <w:marLeft w:val="0"/>
      <w:marRight w:val="0"/>
      <w:marTop w:val="0"/>
      <w:marBottom w:val="0"/>
      <w:divBdr>
        <w:top w:val="none" w:sz="0" w:space="0" w:color="auto"/>
        <w:left w:val="none" w:sz="0" w:space="0" w:color="auto"/>
        <w:bottom w:val="none" w:sz="0" w:space="0" w:color="auto"/>
        <w:right w:val="none" w:sz="0" w:space="0" w:color="auto"/>
      </w:divBdr>
    </w:div>
    <w:div w:id="1505048527">
      <w:bodyDiv w:val="1"/>
      <w:marLeft w:val="0"/>
      <w:marRight w:val="0"/>
      <w:marTop w:val="0"/>
      <w:marBottom w:val="0"/>
      <w:divBdr>
        <w:top w:val="none" w:sz="0" w:space="0" w:color="auto"/>
        <w:left w:val="none" w:sz="0" w:space="0" w:color="auto"/>
        <w:bottom w:val="none" w:sz="0" w:space="0" w:color="auto"/>
        <w:right w:val="none" w:sz="0" w:space="0" w:color="auto"/>
      </w:divBdr>
    </w:div>
    <w:div w:id="1511943899">
      <w:bodyDiv w:val="1"/>
      <w:marLeft w:val="0"/>
      <w:marRight w:val="0"/>
      <w:marTop w:val="0"/>
      <w:marBottom w:val="0"/>
      <w:divBdr>
        <w:top w:val="none" w:sz="0" w:space="0" w:color="auto"/>
        <w:left w:val="none" w:sz="0" w:space="0" w:color="auto"/>
        <w:bottom w:val="none" w:sz="0" w:space="0" w:color="auto"/>
        <w:right w:val="none" w:sz="0" w:space="0" w:color="auto"/>
      </w:divBdr>
    </w:div>
    <w:div w:id="1545097198">
      <w:bodyDiv w:val="1"/>
      <w:marLeft w:val="0"/>
      <w:marRight w:val="0"/>
      <w:marTop w:val="0"/>
      <w:marBottom w:val="0"/>
      <w:divBdr>
        <w:top w:val="none" w:sz="0" w:space="0" w:color="auto"/>
        <w:left w:val="none" w:sz="0" w:space="0" w:color="auto"/>
        <w:bottom w:val="none" w:sz="0" w:space="0" w:color="auto"/>
        <w:right w:val="none" w:sz="0" w:space="0" w:color="auto"/>
      </w:divBdr>
    </w:div>
    <w:div w:id="1604923003">
      <w:bodyDiv w:val="1"/>
      <w:marLeft w:val="0"/>
      <w:marRight w:val="0"/>
      <w:marTop w:val="0"/>
      <w:marBottom w:val="0"/>
      <w:divBdr>
        <w:top w:val="none" w:sz="0" w:space="0" w:color="auto"/>
        <w:left w:val="none" w:sz="0" w:space="0" w:color="auto"/>
        <w:bottom w:val="none" w:sz="0" w:space="0" w:color="auto"/>
        <w:right w:val="none" w:sz="0" w:space="0" w:color="auto"/>
      </w:divBdr>
    </w:div>
    <w:div w:id="1648632504">
      <w:bodyDiv w:val="1"/>
      <w:marLeft w:val="0"/>
      <w:marRight w:val="0"/>
      <w:marTop w:val="0"/>
      <w:marBottom w:val="0"/>
      <w:divBdr>
        <w:top w:val="none" w:sz="0" w:space="0" w:color="auto"/>
        <w:left w:val="none" w:sz="0" w:space="0" w:color="auto"/>
        <w:bottom w:val="none" w:sz="0" w:space="0" w:color="auto"/>
        <w:right w:val="none" w:sz="0" w:space="0" w:color="auto"/>
      </w:divBdr>
    </w:div>
    <w:div w:id="1692612268">
      <w:bodyDiv w:val="1"/>
      <w:marLeft w:val="0"/>
      <w:marRight w:val="0"/>
      <w:marTop w:val="0"/>
      <w:marBottom w:val="0"/>
      <w:divBdr>
        <w:top w:val="none" w:sz="0" w:space="0" w:color="auto"/>
        <w:left w:val="none" w:sz="0" w:space="0" w:color="auto"/>
        <w:bottom w:val="none" w:sz="0" w:space="0" w:color="auto"/>
        <w:right w:val="none" w:sz="0" w:space="0" w:color="auto"/>
      </w:divBdr>
    </w:div>
    <w:div w:id="1879004946">
      <w:bodyDiv w:val="1"/>
      <w:marLeft w:val="0"/>
      <w:marRight w:val="0"/>
      <w:marTop w:val="0"/>
      <w:marBottom w:val="0"/>
      <w:divBdr>
        <w:top w:val="none" w:sz="0" w:space="0" w:color="auto"/>
        <w:left w:val="none" w:sz="0" w:space="0" w:color="auto"/>
        <w:bottom w:val="none" w:sz="0" w:space="0" w:color="auto"/>
        <w:right w:val="none" w:sz="0" w:space="0" w:color="auto"/>
      </w:divBdr>
    </w:div>
    <w:div w:id="1881166305">
      <w:bodyDiv w:val="1"/>
      <w:marLeft w:val="0"/>
      <w:marRight w:val="0"/>
      <w:marTop w:val="0"/>
      <w:marBottom w:val="0"/>
      <w:divBdr>
        <w:top w:val="none" w:sz="0" w:space="0" w:color="auto"/>
        <w:left w:val="none" w:sz="0" w:space="0" w:color="auto"/>
        <w:bottom w:val="none" w:sz="0" w:space="0" w:color="auto"/>
        <w:right w:val="none" w:sz="0" w:space="0" w:color="auto"/>
      </w:divBdr>
    </w:div>
    <w:div w:id="1905412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dap.2022.23"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rham.fathoni@kemenkeu.go.id"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45/357063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016/j.jpubeco.2017.04.006" TargetMode="External"/><Relationship Id="rId4" Type="http://schemas.openxmlformats.org/officeDocument/2006/relationships/webSettings" Target="webSettings.xml"/><Relationship Id="rId9" Type="http://schemas.openxmlformats.org/officeDocument/2006/relationships/hyperlink" Target="http://www.jstor.org/stable/2002541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7490</Words>
  <Characters>42697</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MUCHAMAD IRHAM FATHONI</dc:creator>
  <cp:lastModifiedBy>DELL</cp:lastModifiedBy>
  <cp:revision>4</cp:revision>
  <cp:lastPrinted>2025-10-17T07:25:00Z</cp:lastPrinted>
  <dcterms:created xsi:type="dcterms:W3CDTF">2026-04-29T02:03:00Z</dcterms:created>
  <dcterms:modified xsi:type="dcterms:W3CDTF">2026-05-06T06:37:00Z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aebda3f4-0725-4cb0-be5c-00dd7a86bd0f</vt:lpwstr>
  </property>
</Properties>
</file>